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项目清单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60"/>
        <w:gridCol w:w="1470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数量（单位）</w:t>
            </w:r>
          </w:p>
        </w:tc>
        <w:tc>
          <w:tcPr>
            <w:tcW w:w="534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设备性能描述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车牌识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别终端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8台</w:t>
            </w:r>
          </w:p>
        </w:tc>
        <w:tc>
          <w:tcPr>
            <w:tcW w:w="5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1.车牌识别种类：蓝、黄、新军警、粤港/粤澳、使领馆（老/新），老式不反光、教练车、民航、新能源（大小车）、应急车牌、特殊车牌（电字、厂内、场内、机场）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2.车牌识别率≥99.9%，具有：黑白名单2万条，号牌遮挡报警，非机动车识别，相机可调试道闸参数，相机可支持远程调试外置补光灯亮度，相机可支持曝闪灯模式；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3.智能事件检测，车辆折返事件检测、车辆滞留事件检测、电子和打印车牌防伪检测；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4.500万图像分辨率，全新ISP版本，支持场景自适应模式，从容应对各种顺逆光场景；低照效果表现更优秀，细节更清晰；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5.支持web跨平台远程访问调试和公网远程视频调用，websocket云平台双向通讯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虚假车牌检测率：天气晴朗无雾，环境光照应不低于2001x,晚上环境光照应不低于100lx,对实际的一条车道进行视频模式下抓拍，进行多种场景试验，包含背景里有车和背景无车，验证能否对手机电子车牌或纸质打印车牌识别为虚假车牌。白天、晚上对虚假车牌各抓拍100次，白天虚假车牌正确识别到的次数不低于99次（根据客户端输出判断)，晚上虚假车牌正确识别到的次数不低于99次，虚假车牌识别正确率=（虚假车牌正确识别到的到次数/总抓拍测试次数)×100%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车牌识别速度：天气晴朗无雾，环境光照应不低于2001x,晚上环境光照应不低于100lx,对实际的一条车道进行地感模式下抓拍。白天、晚上对有牌车牌各抓拍100次，计算从接收触发信号到收到设备输出结果的时长，测试平均识别耗时,平均耗时不高于200毫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车辆捕获率：在天气晴朗无雾，号牌无遮挡、无污损的条件下进行测试，白天测试时的环境光照度应不低于2001x,晚上测试时辅助照明光照度应不高于1001x;试验车道为单车道试验时车辆速度为(5~40)km/h范围内，号牌种类和字符采用的几率应均匀。采用前号牌进行号牌识别测试，白天、夜晚各进行100次试验。白天车辆号牌识别准确率应≥99.9%夜间车辆号牌识别准确率应≥99.9%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智慧平台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1套</w:t>
            </w:r>
          </w:p>
        </w:tc>
        <w:tc>
          <w:tcPr>
            <w:tcW w:w="5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车牌识别相机直接上云实现无人化管理，不依赖本地岗亭电脑，数据更安全，速度更快；本地保证通电、通网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，全院大门车辆系统互联互通。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停车场管理系统具有逃费追缴，异常开闸提醒功能等；系统平台具有自主开发能力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及定制修改≥5次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（适应医方软件定制对接开发要求）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提供停车场开发原代码。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本地断网时，值班人员通过手机端拍照车牌上传实现进/出场。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车场方结算直接通过微信、支付宝到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车场方对公帐户；不通过第三方支付通道；到帐时间T+1（如有其他提现时间可以微信、支付宝后台设置）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无牌车微信进出扫码，严格控制1个微信号绑定1次，严格按照一进一出规则。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6.软件界面中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“基本设置”模块中包含“系统参数”“部门信息”“客户信息”“设备信息”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“车场管理”模块包含“停车卡类别”“费率设置”“上传设置”。客户根据现场需要设置各种卡类型和该套停车场收费单价。“车场监控”模块，该模块包含“续费管理”“实时监控”“场内车辆”“出场车辆”“日报表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8.处理器：</w:t>
            </w:r>
            <w:bookmarkStart w:id="0" w:name="OLE_LINK7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Intel12代i58核及以上处理器。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9.内存：≥16GBDDR4内存，主频≥3200MHz，双插槽，最大支持64GBDDR43200MHz及以上。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10.硬盘：≥512GBSATAGen3固态硬盘。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11.网卡：集成10/100/1000M自适应千兆网卡。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12.USB接口：＞1个TYPE C接口，</w:t>
            </w:r>
            <w:bookmarkStart w:id="1" w:name="OLE_LINK9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1个USB 3.0接口，≥4个USB2.0接口。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13.32寸显示器分辨率1920*1080.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智能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重型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空降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闸机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2套</w:t>
            </w:r>
          </w:p>
        </w:tc>
        <w:tc>
          <w:tcPr>
            <w:tcW w:w="53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电机功率：180W栏杆长度：1－6米可选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起落杆速度：5-10s可调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机箱尺寸1500*480*450mm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上横梁中心高度：1400mm主杆规格：150*50mm，壁厚2.2mm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机箱材质：2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0厚冷板+静电喷淙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工作电压 220V+10%/50HZ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散热电机启动温度 50℃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使用环境温度 -25℃～60℃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相对湿度 ≤95%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遥控距离 ≤30m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输入接口 +12V电平信号或大于100ms的脉冲信号；驱动电流小于10mA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无障碍通道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2组</w:t>
            </w:r>
          </w:p>
        </w:tc>
        <w:tc>
          <w:tcPr>
            <w:tcW w:w="53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1.采用国标304奥氏体不锈钢，厚度≥1.2mm；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2.需具备≥2对红外对射感应；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3.需具备尾随报警、反向进入报警、非法闯入报警等；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4.通行速度常开状态≥60人/分钟，常闭状态≥30人/分钟。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5.输入接口：继电器开关信号或干接点号；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6.通行模式：单向或双向；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7.设备在允许通行状态/禁止通行状态件不断转换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500次后，设备的功耗、转换速率应无变化（允许误差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zh-CN"/>
              </w:rPr>
              <w:t>范围土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1%）,设备应能正常工作；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8.设备由允许通行状态向禁止通行状态转换过程中，通道内拦挡部分位置有人时，设备应警示，同时拦挡部分应自动运行到允许通行状态或者停止运动；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9.设备具备防尾随功能，尾随应急报警模式；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10.设备在断电或发生故障后应能处于无拦挡状态，破坏方式应急开启措施；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11.设备的单程运行时间宜在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0.5s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6s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范围内，宜可调，与设定时间值的允许误差范围为±10%；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12.从设备获取在允许通行/禁止通行等信号后至设备的拦挡部分开始启/闭拦挡部分的时间,不大于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1s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13.安装在室内的设备应符合：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 xml:space="preserve">IP30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安装在室外有遮挡环境的设备：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IP43；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14.定制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 w:bidi="en-US"/>
              </w:rPr>
              <w:t>加高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en-US"/>
              </w:rPr>
              <w:t>尺寸；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安检机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安检门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改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5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1.将原有安检门、安检机拆除，安装指定位置。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2.安检机、安检门进行调试维修复原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 w:bidi="en-US"/>
              </w:rPr>
              <w:t>，安检门抓拍摄像机与一键报警联动。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TFmNjAwZDllOTFmNzgzMmI5M2YzZTJkODA4OGEifQ=="/>
  </w:docVars>
  <w:rsids>
    <w:rsidRoot w:val="4DA92B86"/>
    <w:rsid w:val="0E821DEC"/>
    <w:rsid w:val="0F6F44E2"/>
    <w:rsid w:val="1230484B"/>
    <w:rsid w:val="1578612A"/>
    <w:rsid w:val="1DB74442"/>
    <w:rsid w:val="1EF67B01"/>
    <w:rsid w:val="230B288A"/>
    <w:rsid w:val="392A25A3"/>
    <w:rsid w:val="3C1C4C61"/>
    <w:rsid w:val="3EDB1FB8"/>
    <w:rsid w:val="48B516BD"/>
    <w:rsid w:val="4BC4750A"/>
    <w:rsid w:val="4DA92B86"/>
    <w:rsid w:val="57B514F1"/>
    <w:rsid w:val="5858556E"/>
    <w:rsid w:val="5A6B12AF"/>
    <w:rsid w:val="5B871BD1"/>
    <w:rsid w:val="63F975F8"/>
    <w:rsid w:val="67A0618E"/>
    <w:rsid w:val="67DA2FA8"/>
    <w:rsid w:val="691575AC"/>
    <w:rsid w:val="7049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2848</Words>
  <Characters>3210</Characters>
  <Lines>0</Lines>
  <Paragraphs>0</Paragraphs>
  <TotalTime>23</TotalTime>
  <ScaleCrop>false</ScaleCrop>
  <LinksUpToDate>false</LinksUpToDate>
  <CharactersWithSpaces>3232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2025-02-26T08:16:00Z</dcterms:created>
  <dc:creator>同鑫公司</dc:creator>
  <cp:lastModifiedBy>佩</cp:lastModifiedBy>
  <dcterms:modified xsi:type="dcterms:W3CDTF">2026-01-08T00:28:30Z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207F884475A44960B6C8BE32E0237DBB_13</vt:lpwstr>
  </property>
  <property fmtid="{D5CDD505-2E9C-101B-9397-08002B2CF9AE}" pid="4" name="KSOTemplateDocerSaveRecord">
    <vt:lpwstr>eyJoZGlkIjoiZmE4MDY5Zjg5NTE0ZGQ4ZWEyMmI1OTBmZTEzYjJlNzMiLCJ1c2VySWQiOiIzMDExODc1NjQifQ==</vt:lpwstr>
  </property>
</Properties>
</file>