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8AD8F">
      <w:pPr>
        <w:jc w:val="left"/>
        <w:rPr>
          <w:rFonts w:hint="eastAsia" w:ascii="仿宋" w:hAnsi="仿宋" w:eastAsia="仿宋" w:cs="仿宋"/>
          <w:b/>
          <w:bCs/>
          <w:i w:val="0"/>
          <w:iCs w:val="0"/>
          <w:caps w:val="0"/>
          <w:color w:val="auto"/>
          <w:spacing w:val="0"/>
          <w:sz w:val="32"/>
          <w:szCs w:val="32"/>
          <w:lang w:val="en-US" w:eastAsia="zh-CN"/>
        </w:rPr>
      </w:pPr>
      <w:bookmarkStart w:id="0" w:name="_GoBack"/>
      <w:bookmarkEnd w:id="0"/>
      <w:r>
        <w:rPr>
          <w:rFonts w:hint="eastAsia" w:ascii="仿宋" w:hAnsi="仿宋" w:eastAsia="仿宋" w:cs="仿宋"/>
          <w:b/>
          <w:bCs/>
          <w:i w:val="0"/>
          <w:iCs w:val="0"/>
          <w:caps w:val="0"/>
          <w:color w:val="auto"/>
          <w:spacing w:val="0"/>
          <w:sz w:val="32"/>
          <w:szCs w:val="32"/>
          <w:lang w:val="en-US" w:eastAsia="zh-CN"/>
        </w:rPr>
        <w:t>附件：</w:t>
      </w:r>
    </w:p>
    <w:p w14:paraId="35FDBB9A">
      <w:pPr>
        <w:jc w:val="center"/>
        <w:rPr>
          <w:rFonts w:hint="eastAsia" w:ascii="仿宋" w:hAnsi="仿宋" w:eastAsia="仿宋" w:cs="仿宋"/>
          <w:b/>
          <w:bCs/>
          <w:i w:val="0"/>
          <w:iCs w:val="0"/>
          <w:caps w:val="0"/>
          <w:color w:val="auto"/>
          <w:spacing w:val="0"/>
          <w:sz w:val="32"/>
          <w:szCs w:val="32"/>
        </w:rPr>
      </w:pPr>
      <w:r>
        <w:rPr>
          <w:rFonts w:hint="eastAsia" w:ascii="仿宋" w:hAnsi="仿宋" w:eastAsia="仿宋" w:cs="仿宋"/>
          <w:b/>
          <w:bCs/>
          <w:i w:val="0"/>
          <w:iCs w:val="0"/>
          <w:caps w:val="0"/>
          <w:color w:val="auto"/>
          <w:spacing w:val="0"/>
          <w:sz w:val="32"/>
          <w:szCs w:val="32"/>
          <w:lang w:val="en-US" w:eastAsia="zh-CN"/>
        </w:rPr>
        <w:t>消毒供应中心设备基本功能要求</w:t>
      </w:r>
    </w:p>
    <w:tbl>
      <w:tblPr>
        <w:tblStyle w:val="4"/>
        <w:tblW w:w="97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1553"/>
        <w:gridCol w:w="7414"/>
      </w:tblGrid>
      <w:tr w14:paraId="79C9F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299076C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vertAlign w:val="baseline"/>
                <w:lang w:val="en-US" w:eastAsia="zh-CN"/>
              </w:rPr>
            </w:pPr>
            <w:r>
              <w:rPr>
                <w:rFonts w:hint="eastAsia" w:ascii="宋体" w:hAnsi="宋体" w:eastAsia="宋体" w:cs="宋体"/>
                <w:b w:val="0"/>
                <w:bCs w:val="0"/>
                <w:i w:val="0"/>
                <w:iCs w:val="0"/>
                <w:caps w:val="0"/>
                <w:color w:val="auto"/>
                <w:spacing w:val="0"/>
                <w:sz w:val="24"/>
                <w:szCs w:val="24"/>
                <w:vertAlign w:val="baseline"/>
                <w:lang w:val="en-US" w:eastAsia="zh-CN"/>
              </w:rPr>
              <w:t>序号</w:t>
            </w:r>
          </w:p>
        </w:tc>
        <w:tc>
          <w:tcPr>
            <w:tcW w:w="1553" w:type="dxa"/>
            <w:vAlign w:val="center"/>
          </w:tcPr>
          <w:p w14:paraId="60C6213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vertAlign w:val="baseline"/>
                <w:lang w:val="en-US" w:eastAsia="zh-CN"/>
              </w:rPr>
            </w:pPr>
            <w:r>
              <w:rPr>
                <w:rFonts w:hint="eastAsia" w:ascii="宋体" w:hAnsi="宋体" w:eastAsia="宋体" w:cs="宋体"/>
                <w:b w:val="0"/>
                <w:bCs w:val="0"/>
                <w:i w:val="0"/>
                <w:iCs w:val="0"/>
                <w:caps w:val="0"/>
                <w:color w:val="auto"/>
                <w:spacing w:val="0"/>
                <w:sz w:val="24"/>
                <w:szCs w:val="24"/>
                <w:vertAlign w:val="baseline"/>
                <w:lang w:val="en-US" w:eastAsia="zh-CN"/>
              </w:rPr>
              <w:t>名称</w:t>
            </w:r>
          </w:p>
        </w:tc>
        <w:tc>
          <w:tcPr>
            <w:tcW w:w="7414" w:type="dxa"/>
            <w:vAlign w:val="center"/>
          </w:tcPr>
          <w:p w14:paraId="338A325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vertAlign w:val="baseline"/>
                <w:lang w:val="en-US" w:eastAsia="zh-CN"/>
              </w:rPr>
            </w:pPr>
            <w:r>
              <w:rPr>
                <w:rFonts w:hint="eastAsia" w:ascii="宋体" w:hAnsi="宋体" w:eastAsia="宋体" w:cs="宋体"/>
                <w:b w:val="0"/>
                <w:bCs w:val="0"/>
                <w:i w:val="0"/>
                <w:iCs w:val="0"/>
                <w:caps w:val="0"/>
                <w:color w:val="auto"/>
                <w:spacing w:val="0"/>
                <w:sz w:val="24"/>
                <w:szCs w:val="24"/>
                <w:vertAlign w:val="baseline"/>
                <w:lang w:val="en-US" w:eastAsia="zh-CN"/>
              </w:rPr>
              <w:t>基本功能</w:t>
            </w:r>
          </w:p>
        </w:tc>
      </w:tr>
      <w:tr w14:paraId="41FA9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5A59A90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vertAlign w:val="baseline"/>
                <w:lang w:val="en-US" w:eastAsia="zh-CN"/>
              </w:rPr>
            </w:pPr>
            <w:r>
              <w:rPr>
                <w:rFonts w:hint="eastAsia" w:ascii="宋体" w:hAnsi="宋体" w:eastAsia="宋体" w:cs="宋体"/>
                <w:b w:val="0"/>
                <w:bCs w:val="0"/>
                <w:i w:val="0"/>
                <w:iCs w:val="0"/>
                <w:caps w:val="0"/>
                <w:color w:val="auto"/>
                <w:spacing w:val="0"/>
                <w:sz w:val="24"/>
                <w:szCs w:val="24"/>
                <w:lang w:val="en-US" w:eastAsia="zh-CN"/>
              </w:rPr>
              <w:t>1</w:t>
            </w:r>
          </w:p>
        </w:tc>
        <w:tc>
          <w:tcPr>
            <w:tcW w:w="1553" w:type="dxa"/>
            <w:vAlign w:val="center"/>
          </w:tcPr>
          <w:p w14:paraId="468FC7B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vertAlign w:val="baseline"/>
                <w:lang w:val="en-US" w:eastAsia="zh-CN"/>
              </w:rPr>
            </w:pPr>
            <w:r>
              <w:rPr>
                <w:rFonts w:hint="eastAsia" w:ascii="宋体" w:hAnsi="宋体" w:eastAsia="宋体" w:cs="宋体"/>
                <w:b w:val="0"/>
                <w:bCs w:val="0"/>
                <w:i w:val="0"/>
                <w:iCs w:val="0"/>
                <w:caps w:val="0"/>
                <w:color w:val="auto"/>
                <w:spacing w:val="0"/>
                <w:sz w:val="24"/>
                <w:szCs w:val="24"/>
                <w:lang w:val="en-US" w:eastAsia="zh-CN"/>
              </w:rPr>
              <w:t>清洗水枪</w:t>
            </w:r>
          </w:p>
        </w:tc>
        <w:tc>
          <w:tcPr>
            <w:tcW w:w="7414" w:type="dxa"/>
            <w:vAlign w:val="center"/>
          </w:tcPr>
          <w:p w14:paraId="021C983B">
            <w:pPr>
              <w:pStyle w:val="2"/>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枪体采用SUS304不锈钢；</w:t>
            </w:r>
          </w:p>
          <w:p w14:paraId="7C5C1108">
            <w:pPr>
              <w:pStyle w:val="2"/>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配备不低于八个螺旋式清洗喷嘴，清洗喷嘴与枪体之间可以任意更换；</w:t>
            </w:r>
          </w:p>
          <w:p w14:paraId="08C86A66">
            <w:pPr>
              <w:pStyle w:val="2"/>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vertAlign w:val="baseline"/>
                <w:lang w:val="en-US" w:eastAsia="zh-CN"/>
              </w:rPr>
            </w:pPr>
            <w:r>
              <w:rPr>
                <w:rFonts w:hint="eastAsia" w:ascii="宋体" w:hAnsi="宋体" w:eastAsia="宋体" w:cs="宋体"/>
                <w:b w:val="0"/>
                <w:bCs w:val="0"/>
                <w:i w:val="0"/>
                <w:iCs w:val="0"/>
                <w:caps w:val="0"/>
                <w:color w:val="auto"/>
                <w:spacing w:val="0"/>
                <w:sz w:val="24"/>
                <w:szCs w:val="24"/>
                <w:lang w:val="en-US" w:eastAsia="zh-CN"/>
              </w:rPr>
              <w:t>耐受压力0-0.75MPa；</w:t>
            </w:r>
          </w:p>
        </w:tc>
      </w:tr>
      <w:tr w14:paraId="6AA17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48A20369">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2</w:t>
            </w:r>
          </w:p>
        </w:tc>
        <w:tc>
          <w:tcPr>
            <w:tcW w:w="1553" w:type="dxa"/>
            <w:vAlign w:val="center"/>
          </w:tcPr>
          <w:p w14:paraId="463316C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切割封口一体机（高低温一体）</w:t>
            </w:r>
          </w:p>
        </w:tc>
        <w:tc>
          <w:tcPr>
            <w:tcW w:w="7414" w:type="dxa"/>
            <w:vAlign w:val="center"/>
          </w:tcPr>
          <w:p w14:paraId="01291585">
            <w:pPr>
              <w:pStyle w:val="2"/>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切割长度：≥50mm ；</w:t>
            </w:r>
          </w:p>
          <w:p w14:paraId="75E6A459">
            <w:pPr>
              <w:pStyle w:val="2"/>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切割速度：12±0.5m/min；</w:t>
            </w:r>
          </w:p>
          <w:p w14:paraId="11F290C2">
            <w:pPr>
              <w:pStyle w:val="2"/>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切割偏差：≤ 1 %；</w:t>
            </w:r>
          </w:p>
          <w:p w14:paraId="6820692D">
            <w:pPr>
              <w:pStyle w:val="2"/>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切割宽度：≤400mm；</w:t>
            </w:r>
          </w:p>
          <w:p w14:paraId="236302B9">
            <w:pPr>
              <w:pStyle w:val="2"/>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侧开口方式更换色带，历史数据查询功能，尾料监测功能。</w:t>
            </w:r>
          </w:p>
        </w:tc>
      </w:tr>
      <w:tr w14:paraId="4F535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6EF742C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3</w:t>
            </w:r>
          </w:p>
        </w:tc>
        <w:tc>
          <w:tcPr>
            <w:tcW w:w="1553" w:type="dxa"/>
            <w:vAlign w:val="center"/>
          </w:tcPr>
          <w:p w14:paraId="0C61E2E8">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带光源放大镜</w:t>
            </w:r>
          </w:p>
        </w:tc>
        <w:tc>
          <w:tcPr>
            <w:tcW w:w="7414" w:type="dxa"/>
            <w:vAlign w:val="center"/>
          </w:tcPr>
          <w:p w14:paraId="0F7EA1B9">
            <w:pPr>
              <w:pStyle w:val="2"/>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支持旋转360度；</w:t>
            </w:r>
          </w:p>
          <w:p w14:paraId="2C81974C">
            <w:pPr>
              <w:pStyle w:val="2"/>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带灯；</w:t>
            </w:r>
          </w:p>
          <w:p w14:paraId="1E5B0B4A">
            <w:pPr>
              <w:pStyle w:val="2"/>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放大倍数不低于5倍。</w:t>
            </w:r>
          </w:p>
        </w:tc>
      </w:tr>
      <w:tr w14:paraId="133EE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59CED84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4</w:t>
            </w:r>
          </w:p>
        </w:tc>
        <w:tc>
          <w:tcPr>
            <w:tcW w:w="1553" w:type="dxa"/>
            <w:vAlign w:val="center"/>
          </w:tcPr>
          <w:p w14:paraId="7522112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过氧化氢低温等离子浓度检测系统</w:t>
            </w:r>
          </w:p>
        </w:tc>
        <w:tc>
          <w:tcPr>
            <w:tcW w:w="7414" w:type="dxa"/>
            <w:vAlign w:val="center"/>
          </w:tcPr>
          <w:p w14:paraId="5C35A7BE">
            <w:pPr>
              <w:pStyle w:val="2"/>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≥6.5英寸彩色宽屏显示；</w:t>
            </w:r>
          </w:p>
          <w:p w14:paraId="33344219">
            <w:pPr>
              <w:pStyle w:val="2"/>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检测方式：扩散式；</w:t>
            </w:r>
          </w:p>
          <w:p w14:paraId="1C9F630F">
            <w:pPr>
              <w:pStyle w:val="2"/>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报警控制主机不低于4个监测通道；</w:t>
            </w:r>
          </w:p>
          <w:p w14:paraId="314AEF1A">
            <w:pPr>
              <w:pStyle w:val="2"/>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具有自检功能。</w:t>
            </w:r>
          </w:p>
        </w:tc>
      </w:tr>
      <w:tr w14:paraId="3C18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7CD194DC">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5</w:t>
            </w:r>
          </w:p>
        </w:tc>
        <w:tc>
          <w:tcPr>
            <w:tcW w:w="1553" w:type="dxa"/>
            <w:vAlign w:val="center"/>
          </w:tcPr>
          <w:p w14:paraId="2F69ED5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超声清洗机</w:t>
            </w:r>
          </w:p>
        </w:tc>
        <w:tc>
          <w:tcPr>
            <w:tcW w:w="7414" w:type="dxa"/>
            <w:vAlign w:val="center"/>
          </w:tcPr>
          <w:p w14:paraId="11904B9F">
            <w:pPr>
              <w:pStyle w:val="2"/>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内槽有效容积：≥80L；</w:t>
            </w:r>
          </w:p>
          <w:p w14:paraId="6B1034C0">
            <w:pPr>
              <w:pStyle w:val="2"/>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超声波功率：≥2000W；</w:t>
            </w:r>
          </w:p>
          <w:p w14:paraId="2C1F62F9">
            <w:pPr>
              <w:pStyle w:val="2"/>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超声频率：≥40KHz；</w:t>
            </w:r>
          </w:p>
          <w:p w14:paraId="31082062">
            <w:pPr>
              <w:pStyle w:val="2"/>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槽体材质：采用304不锈钢镜面板；</w:t>
            </w:r>
          </w:p>
          <w:p w14:paraId="6B030BBE">
            <w:pPr>
              <w:pStyle w:val="2"/>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采用微电脑控制、液晶显示过程参数、参数可自行设定；</w:t>
            </w:r>
          </w:p>
          <w:p w14:paraId="52047325">
            <w:pPr>
              <w:pStyle w:val="2"/>
              <w:keepNext w:val="0"/>
              <w:keepLines w:val="0"/>
              <w:pageBreakBefore w:val="0"/>
              <w:widowControl/>
              <w:numPr>
                <w:ilvl w:val="0"/>
                <w:numId w:val="5"/>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设备通过了电磁兼容检测，提供检测报告复印件。</w:t>
            </w:r>
          </w:p>
        </w:tc>
      </w:tr>
      <w:tr w14:paraId="4CDAD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1469594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6</w:t>
            </w:r>
          </w:p>
        </w:tc>
        <w:tc>
          <w:tcPr>
            <w:tcW w:w="1553" w:type="dxa"/>
            <w:vAlign w:val="center"/>
          </w:tcPr>
          <w:p w14:paraId="4D6C936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煮沸消毒机</w:t>
            </w:r>
          </w:p>
        </w:tc>
        <w:tc>
          <w:tcPr>
            <w:tcW w:w="7414" w:type="dxa"/>
            <w:vAlign w:val="center"/>
          </w:tcPr>
          <w:p w14:paraId="6ED7C6A1">
            <w:pPr>
              <w:pStyle w:val="2"/>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93°热水消毒、上油消毒；</w:t>
            </w:r>
          </w:p>
          <w:p w14:paraId="1570D1C9">
            <w:pPr>
              <w:pStyle w:val="2"/>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容积：≥80L、内槽储水量：≥60L；</w:t>
            </w:r>
          </w:p>
          <w:p w14:paraId="4AD21829">
            <w:pPr>
              <w:pStyle w:val="2"/>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能在“室温-99”摄氏度之间自由调节；</w:t>
            </w:r>
          </w:p>
          <w:p w14:paraId="04D85134">
            <w:pPr>
              <w:pStyle w:val="2"/>
              <w:keepNext w:val="0"/>
              <w:keepLines w:val="0"/>
              <w:pageBreakBefore w:val="0"/>
              <w:widowControl/>
              <w:numPr>
                <w:ilvl w:val="0"/>
                <w:numId w:val="6"/>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加热时间可在0-60min自由设定（提供《消毒产品卫生安全评价报告》复印件佐证）。</w:t>
            </w:r>
          </w:p>
        </w:tc>
      </w:tr>
      <w:tr w14:paraId="5234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61155F6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7</w:t>
            </w:r>
          </w:p>
        </w:tc>
        <w:tc>
          <w:tcPr>
            <w:tcW w:w="1553" w:type="dxa"/>
            <w:vAlign w:val="center"/>
          </w:tcPr>
          <w:p w14:paraId="70FD60D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ATP荧光检测仪</w:t>
            </w:r>
          </w:p>
        </w:tc>
        <w:tc>
          <w:tcPr>
            <w:tcW w:w="7414" w:type="dxa"/>
            <w:vAlign w:val="center"/>
          </w:tcPr>
          <w:p w14:paraId="16E30697">
            <w:pPr>
              <w:pStyle w:val="2"/>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检测范围:0-1,000,000RLU；</w:t>
            </w:r>
          </w:p>
          <w:p w14:paraId="0A06FF7E">
            <w:pPr>
              <w:pStyle w:val="2"/>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检测灵敏度：10^16-10^18mol ATP；</w:t>
            </w:r>
          </w:p>
          <w:p w14:paraId="3517A670">
            <w:pPr>
              <w:pStyle w:val="2"/>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智能存储支持在线查看结果≥20,000条记录；</w:t>
            </w:r>
          </w:p>
          <w:p w14:paraId="6D4A8BE1">
            <w:pPr>
              <w:pStyle w:val="2"/>
              <w:keepNext w:val="0"/>
              <w:keepLines w:val="0"/>
              <w:pageBreakBefore w:val="0"/>
              <w:widowControl/>
              <w:numPr>
                <w:ilvl w:val="0"/>
                <w:numId w:val="7"/>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储存采样计划≥100个，每个采样计划可设立≥300个采样点；内设开机自动检查及报警功能。</w:t>
            </w:r>
          </w:p>
        </w:tc>
      </w:tr>
      <w:tr w14:paraId="7032B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6C789C2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8</w:t>
            </w:r>
          </w:p>
        </w:tc>
        <w:tc>
          <w:tcPr>
            <w:tcW w:w="1553" w:type="dxa"/>
            <w:vAlign w:val="center"/>
          </w:tcPr>
          <w:p w14:paraId="0484C68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高温干燥柜</w:t>
            </w:r>
          </w:p>
        </w:tc>
        <w:tc>
          <w:tcPr>
            <w:tcW w:w="7414" w:type="dxa"/>
            <w:vAlign w:val="center"/>
          </w:tcPr>
          <w:p w14:paraId="30F26235">
            <w:pPr>
              <w:pStyle w:val="2"/>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采用≥7寸高清彩色触摸屏显示控制；</w:t>
            </w:r>
          </w:p>
          <w:p w14:paraId="52E183D4">
            <w:pPr>
              <w:pStyle w:val="2"/>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内置≥10套程序；</w:t>
            </w:r>
          </w:p>
          <w:p w14:paraId="1408BED5">
            <w:pPr>
              <w:pStyle w:val="2"/>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有效容积≥400升；</w:t>
            </w:r>
          </w:p>
          <w:p w14:paraId="7DF08AFB">
            <w:pPr>
              <w:pStyle w:val="2"/>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干燥温度设置范围40℃-99℃；</w:t>
            </w:r>
          </w:p>
          <w:p w14:paraId="370726E9">
            <w:pPr>
              <w:pStyle w:val="2"/>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配有专用的器械托盘、导管干燥架、湿化瓶干燥架；</w:t>
            </w:r>
          </w:p>
          <w:p w14:paraId="6FEE6A57">
            <w:pPr>
              <w:pStyle w:val="2"/>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舱体高度≥1600mm，电动控制自动开关门；</w:t>
            </w:r>
          </w:p>
          <w:p w14:paraId="5CF2BE5C">
            <w:pPr>
              <w:pStyle w:val="2"/>
              <w:keepNext w:val="0"/>
              <w:keepLines w:val="0"/>
              <w:pageBreakBefore w:val="0"/>
              <w:widowControl/>
              <w:numPr>
                <w:ilvl w:val="0"/>
                <w:numId w:val="8"/>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具有超温保护、过热保护、温度异常保护、风压保护、漏电保护、过载保护等多重安全保护措施。</w:t>
            </w:r>
          </w:p>
        </w:tc>
      </w:tr>
      <w:tr w14:paraId="0E05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61FB030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9</w:t>
            </w:r>
          </w:p>
        </w:tc>
        <w:tc>
          <w:tcPr>
            <w:tcW w:w="1553" w:type="dxa"/>
            <w:vAlign w:val="center"/>
          </w:tcPr>
          <w:p w14:paraId="61C3C3AC">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过氧化氢低温等离子体灭菌器</w:t>
            </w:r>
          </w:p>
        </w:tc>
        <w:tc>
          <w:tcPr>
            <w:tcW w:w="7414" w:type="dxa"/>
            <w:vAlign w:val="center"/>
          </w:tcPr>
          <w:p w14:paraId="0C8A5629">
            <w:pPr>
              <w:pStyle w:val="2"/>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≥5.6寸彩色触摸屏；</w:t>
            </w:r>
          </w:p>
          <w:p w14:paraId="35C8A2E7">
            <w:pPr>
              <w:pStyle w:val="2"/>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设备宽度≤770mm；</w:t>
            </w:r>
          </w:p>
          <w:p w14:paraId="279D5254">
            <w:pPr>
              <w:pStyle w:val="2"/>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灭菌内室容积：≥130L；</w:t>
            </w:r>
          </w:p>
          <w:p w14:paraId="3BB8B3F5">
            <w:pPr>
              <w:pStyle w:val="2"/>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灭菌程序要求：支持对管腔类器械灭菌循环、软式内镜的灭菌循环、对医疗器械的表面灭菌循环；软镜循环：具有软式内镜专用灭菌程序，能对内径1mm长度1000mm管腔的软式内窥镜灭菌（投标人提供国家认可的第三方检测机构出具的检测报告复印件）；</w:t>
            </w:r>
          </w:p>
          <w:p w14:paraId="56489239">
            <w:pPr>
              <w:pStyle w:val="2"/>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灭菌剂：卡匣式封装，全自动针刺胶囊吸入式，单个胶囊灭菌剂灌装量≥5ml；</w:t>
            </w:r>
          </w:p>
          <w:p w14:paraId="67F9882D">
            <w:pPr>
              <w:pStyle w:val="2"/>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灭菌能力: 聚四氟乙烯管腔:直径≤1mm,长度≥2000mm；不锈钢管腔:直径≤1mm,长度≥500mm；（提供省级以上机构有效期内灭菌效果检测报告）；</w:t>
            </w:r>
          </w:p>
          <w:p w14:paraId="5A220969">
            <w:pPr>
              <w:pStyle w:val="2"/>
              <w:keepNext w:val="0"/>
              <w:keepLines w:val="0"/>
              <w:pageBreakBefore w:val="0"/>
              <w:widowControl/>
              <w:numPr>
                <w:ilvl w:val="0"/>
                <w:numId w:val="9"/>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使用寿命：≥11年。</w:t>
            </w:r>
          </w:p>
        </w:tc>
      </w:tr>
      <w:tr w14:paraId="13C2B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6B38F24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10</w:t>
            </w:r>
          </w:p>
        </w:tc>
        <w:tc>
          <w:tcPr>
            <w:tcW w:w="1553" w:type="dxa"/>
            <w:vAlign w:val="center"/>
          </w:tcPr>
          <w:p w14:paraId="794CA949">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高效全自动清洗消毒器</w:t>
            </w:r>
          </w:p>
        </w:tc>
        <w:tc>
          <w:tcPr>
            <w:tcW w:w="7414" w:type="dxa"/>
            <w:vAlign w:val="center"/>
          </w:tcPr>
          <w:p w14:paraId="48B75898">
            <w:pPr>
              <w:pStyle w:val="2"/>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设备外形尺寸宽度≤1300mm，高度≤1900mm。</w:t>
            </w:r>
          </w:p>
          <w:p w14:paraId="62D57F32">
            <w:pPr>
              <w:pStyle w:val="2"/>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屏幕≥8英寸彩色液晶触摸屏；前后双屏。</w:t>
            </w:r>
          </w:p>
          <w:p w14:paraId="4DA6EC01">
            <w:pPr>
              <w:pStyle w:val="2"/>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容积：≥520L。</w:t>
            </w:r>
          </w:p>
          <w:p w14:paraId="1A3B3330">
            <w:pPr>
              <w:pStyle w:val="2"/>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变频清洗：根据不同清洗器械和不同的酶液变频清洗。（提供厂家印发彩页证明）。</w:t>
            </w:r>
          </w:p>
          <w:p w14:paraId="43211A85">
            <w:pPr>
              <w:pStyle w:val="2"/>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消毒效果要求：具有权威机构针对金黄色葡萄球菌、大肠杆菌、白色念珠菌清洗消毒效果的鉴定试验报告(提供报告复印件)。</w:t>
            </w:r>
          </w:p>
          <w:p w14:paraId="6AF5450E">
            <w:pPr>
              <w:pStyle w:val="2"/>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快速管路设计：采用预热水箱设计及双水箱设计，操作界面可显示两个水箱温度。</w:t>
            </w:r>
          </w:p>
          <w:p w14:paraId="0EB2596A">
            <w:pPr>
              <w:pStyle w:val="2"/>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干燥系统：双风机供风。</w:t>
            </w:r>
          </w:p>
          <w:p w14:paraId="58AAAD6E">
            <w:pPr>
              <w:pStyle w:val="2"/>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对接口：清洗架注水口位于清洗架侧面。</w:t>
            </w:r>
          </w:p>
          <w:p w14:paraId="2A102F98">
            <w:pPr>
              <w:pStyle w:val="2"/>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观察灯：舱体具有照明系统。</w:t>
            </w:r>
          </w:p>
          <w:p w14:paraId="6822EF8B">
            <w:pPr>
              <w:pStyle w:val="2"/>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记录方式：可自动打印过程曲线或报表、</w:t>
            </w:r>
          </w:p>
          <w:p w14:paraId="22033180">
            <w:pPr>
              <w:pStyle w:val="2"/>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程序要求：内置程序≥30套。</w:t>
            </w:r>
          </w:p>
          <w:p w14:paraId="51632905">
            <w:pPr>
              <w:pStyle w:val="2"/>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运行时间：标准清洗程序≤30分钟。</w:t>
            </w:r>
          </w:p>
          <w:p w14:paraId="7CDE1AD6">
            <w:pPr>
              <w:pStyle w:val="2"/>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消毒效果：一类消毒产品（提供投标产品在全国消毒产品网上备案信息服务平台查询网址和查询界面截图证明）</w:t>
            </w:r>
          </w:p>
          <w:p w14:paraId="0A0FC35B">
            <w:pPr>
              <w:pStyle w:val="2"/>
              <w:keepNext w:val="0"/>
              <w:keepLines w:val="0"/>
              <w:pageBreakBefore w:val="0"/>
              <w:widowControl/>
              <w:numPr>
                <w:ilvl w:val="0"/>
                <w:numId w:val="10"/>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需增配一个湿化瓶清洗架、一辆清洗架外接车和除锈仪一套。</w:t>
            </w:r>
          </w:p>
        </w:tc>
      </w:tr>
      <w:tr w14:paraId="44EBC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491FDBE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11</w:t>
            </w:r>
          </w:p>
        </w:tc>
        <w:tc>
          <w:tcPr>
            <w:tcW w:w="1553" w:type="dxa"/>
            <w:vAlign w:val="center"/>
          </w:tcPr>
          <w:p w14:paraId="7054B45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平移门脉动真空灭菌器（带蒸发器）</w:t>
            </w:r>
          </w:p>
        </w:tc>
        <w:tc>
          <w:tcPr>
            <w:tcW w:w="7414" w:type="dxa"/>
            <w:vAlign w:val="center"/>
          </w:tcPr>
          <w:p w14:paraId="4A302C4D">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≥8英寸彩色触摸屏,显示工作过程参数；</w:t>
            </w:r>
          </w:p>
          <w:p w14:paraId="178EDE8F">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设备全自动PLC控制，灭菌程序的压力、温度、时间值可根据需要自行设定，自动打印过程参数；</w:t>
            </w:r>
          </w:p>
          <w:p w14:paraId="5B9ED8E4">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密封门结构：双扉密封门，电动平移、气动密封；</w:t>
            </w:r>
          </w:p>
          <w:p w14:paraId="36AFDDC5">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门动力方式：电机带轮通过同步带驱动门板左右平移，全过程自动完成。</w:t>
            </w:r>
          </w:p>
          <w:p w14:paraId="0F60BAF5">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灭菌内室容积≥1200升，利用饱和湿热蒸汽对耐热耐湿物品进行高温高压灭菌处理；</w:t>
            </w:r>
          </w:p>
          <w:p w14:paraId="7198859E">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设计寿命≥15年（或≥30000次灭菌循环）</w:t>
            </w:r>
          </w:p>
          <w:p w14:paraId="125E8579">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内室设计压力≤-0.1Mpa至≥0.3Mpa；设计温度：≥144℃； 安全阀开启压力：≥0.28MPa；</w:t>
            </w:r>
          </w:p>
          <w:p w14:paraId="5D448B51">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主体结构：环形加强筋结构；</w:t>
            </w:r>
          </w:p>
          <w:p w14:paraId="00FE4E1C">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材质要求：内壳厚度≥6mm，夹套厚度≥6mm。主体采用316L材质，加强筋、管路、外罩均采用304不锈钢材质；</w:t>
            </w:r>
          </w:p>
          <w:p w14:paraId="650E9038">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进气方式：配备蒸汽减压阀，多点进汽，进汽口数量≥5个；</w:t>
            </w:r>
          </w:p>
          <w:p w14:paraId="27BAB20B">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压力安全联锁装置：门只有关闭到位，电源才能接通加热产生蒸汽；内室有正压或负压压力，门无法打开。</w:t>
            </w:r>
          </w:p>
          <w:p w14:paraId="68FD3B7D">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采用医用透明高抗撕硅橡胶材质的圆形门胶条，压缩气密封；</w:t>
            </w:r>
          </w:p>
          <w:p w14:paraId="08571338">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双门互锁：一个门处在非关闭状态下，另一个门无法进行门动作；</w:t>
            </w:r>
          </w:p>
          <w:p w14:paraId="4DC85C79">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灭菌工艺要求：脉动方式支持脉动、跨压脉动、正压脉动三种脉动方式结合，干燥方式采用真空干燥，以上内容在打印记录实时打印；</w:t>
            </w:r>
          </w:p>
          <w:p w14:paraId="63CCF6F7">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程序运行时间：标准循环:≤55分钟。</w:t>
            </w:r>
          </w:p>
          <w:p w14:paraId="44949C0F">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灭菌温度：标准循环：121℃和134℃。灭菌温度设定范围：115～139℃可设；</w:t>
            </w:r>
          </w:p>
          <w:p w14:paraId="57464B78">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具有用户分级权限管理系统，规范用户管理；</w:t>
            </w:r>
          </w:p>
          <w:p w14:paraId="02D8CE1C">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预设程序数量≥20个且操作时可在屏幕上直接选择程序，具有织物敷料、常规器械、骨科器械、朊病毒、管腔负载等灭菌程序，具有B&amp;D测试、泄露测试等测试类程序，具有冷锅预热、辅助干燥等辅助类程序；</w:t>
            </w:r>
          </w:p>
          <w:p w14:paraId="32A33D34">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记录方式：打印的数据实时记录整个灭菌过程的数据；</w:t>
            </w:r>
          </w:p>
          <w:p w14:paraId="755C7277">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具有压缩气压力检测装置；</w:t>
            </w:r>
          </w:p>
          <w:p w14:paraId="1004BF32">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双压力检测：灭菌器夹层和内室均使用压力变送器进行控制，无需人工调节夹层压力；</w:t>
            </w:r>
          </w:p>
          <w:p w14:paraId="3945D9ED">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管道工艺布局可实现设备单侧维修；</w:t>
            </w:r>
          </w:p>
          <w:p w14:paraId="40D45056">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设备自带洁净蒸汽发生器，无需外接蒸汽，保证蒸汽质量，蒸发器进水管路具备防回流设计；</w:t>
            </w:r>
          </w:p>
          <w:p w14:paraId="059A17D7">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121℃最短灭菌时间≤20分钟，134℃最短灭菌时间≤5分钟；</w:t>
            </w:r>
          </w:p>
          <w:p w14:paraId="3F76ECCD">
            <w:pPr>
              <w:pStyle w:val="2"/>
              <w:keepNext w:val="0"/>
              <w:keepLines w:val="0"/>
              <w:pageBreakBefore w:val="0"/>
              <w:widowControl/>
              <w:numPr>
                <w:ilvl w:val="0"/>
                <w:numId w:val="11"/>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具备多种干燥方式，至少具备真空干燥和脉动干燥；</w:t>
            </w:r>
          </w:p>
        </w:tc>
      </w:tr>
      <w:tr w14:paraId="4D2D6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3E217A5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12</w:t>
            </w:r>
          </w:p>
        </w:tc>
        <w:tc>
          <w:tcPr>
            <w:tcW w:w="1553" w:type="dxa"/>
            <w:vAlign w:val="center"/>
          </w:tcPr>
          <w:p w14:paraId="0ABE5D2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水处理系统</w:t>
            </w:r>
          </w:p>
        </w:tc>
        <w:tc>
          <w:tcPr>
            <w:tcW w:w="7414" w:type="dxa"/>
            <w:vAlign w:val="center"/>
          </w:tcPr>
          <w:p w14:paraId="1287CB61">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产水水质要求：清洗用纯化水符合电导率≤15us/cm(25℃)，压力蒸汽灭菌器供给水的水质符合电导率≤5us/cm，硬度≤0.02mmoL/L等指标；</w:t>
            </w:r>
          </w:p>
          <w:p w14:paraId="599136BC">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原水水源要求：市政自来水；</w:t>
            </w:r>
          </w:p>
          <w:p w14:paraId="61A6211B">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原水压力要求：0.2Mpa～0.4MPa（最佳为0.3MPa ）；</w:t>
            </w:r>
          </w:p>
          <w:p w14:paraId="74406C8A">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进水温度要求：5～35℃ （25℃ 最佳）；</w:t>
            </w:r>
          </w:p>
          <w:p w14:paraId="30EE8622">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电 源：AC 380V/50Hz/9KW （三相五线制）；</w:t>
            </w:r>
          </w:p>
          <w:p w14:paraId="5E282B31">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一级产水量：≥2100L/h；</w:t>
            </w:r>
          </w:p>
          <w:p w14:paraId="3568F7C4">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二级产水量：≥500L/h；</w:t>
            </w:r>
          </w:p>
          <w:p w14:paraId="11A24311">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一级产水水质：≤15us/cm(25℃)；</w:t>
            </w:r>
          </w:p>
          <w:p w14:paraId="20B04EBE">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二级产水水质：≤5us/cm(25℃)；</w:t>
            </w:r>
          </w:p>
          <w:p w14:paraId="7E0C37CD">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一级纯水箱储水量：≥1500L；</w:t>
            </w:r>
          </w:p>
          <w:p w14:paraId="58904359">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二级纯水箱储水量：≥500 L；</w:t>
            </w:r>
          </w:p>
          <w:p w14:paraId="49A98C87">
            <w:pPr>
              <w:pStyle w:val="2"/>
              <w:keepNext w:val="0"/>
              <w:keepLines w:val="0"/>
              <w:pageBreakBefore w:val="0"/>
              <w:widowControl/>
              <w:numPr>
                <w:ilvl w:val="0"/>
                <w:numId w:val="12"/>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控制方式：全自动控制；</w:t>
            </w:r>
          </w:p>
        </w:tc>
      </w:tr>
      <w:tr w14:paraId="3062F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1FF2584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13</w:t>
            </w:r>
          </w:p>
        </w:tc>
        <w:tc>
          <w:tcPr>
            <w:tcW w:w="1553" w:type="dxa"/>
            <w:vAlign w:val="center"/>
          </w:tcPr>
          <w:p w14:paraId="13F7243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硬镜清洗工作站</w:t>
            </w:r>
          </w:p>
        </w:tc>
        <w:tc>
          <w:tcPr>
            <w:tcW w:w="7414" w:type="dxa"/>
            <w:vAlign w:val="center"/>
          </w:tcPr>
          <w:p w14:paraId="1859D781">
            <w:pPr>
              <w:pStyle w:val="2"/>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设备结构：包含初洗、酶洗、超声、末洗四个功能槽，同时配置一个干燥台；</w:t>
            </w:r>
          </w:p>
          <w:p w14:paraId="1A750A90">
            <w:pPr>
              <w:pStyle w:val="2"/>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工作站主体材质要求：采用进口高分子复合材料（ABS+亚克力PMMA）整体热合吸塑成型，高分子复合材料须根据医药行业标准YY0992-2016的5.2.3要求进行耐腐蚀性测试：在1%NaOH溶液中浸泡72小时无可视变化，在5% H2SO4溶液中浸泡72小时无可视变化（提供国家药品监督管理局提供的检验报告）；</w:t>
            </w:r>
          </w:p>
          <w:p w14:paraId="4AF45256">
            <w:pPr>
              <w:pStyle w:val="2"/>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清洗槽采用“前高后低”大圆弧防泛水设计，干燥台采用内凹式平台圆弧设计（提供防泛水设计佐证材料）；</w:t>
            </w:r>
          </w:p>
          <w:p w14:paraId="41204A1D">
            <w:pPr>
              <w:pStyle w:val="2"/>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干燥台形状要求：干燥台采用内凹式平台圆弧设计；</w:t>
            </w:r>
          </w:p>
          <w:p w14:paraId="6D43ED56">
            <w:pPr>
              <w:pStyle w:val="2"/>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功能背板形状材质要求：背板采用与清洗槽相同的材质，为整体一次成型；</w:t>
            </w:r>
          </w:p>
          <w:p w14:paraId="04264A26">
            <w:pPr>
              <w:pStyle w:val="2"/>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浸泡槽盖材质要求：采用透明亚克力面板吸塑成形有手柄；</w:t>
            </w:r>
          </w:p>
          <w:p w14:paraId="10764A99">
            <w:pPr>
              <w:pStyle w:val="2"/>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柜体形状要求：采用分段式倾斜柜体，台下柜体向前倾斜≤10度，柜体底部离地高度≥150mm；</w:t>
            </w:r>
          </w:p>
          <w:p w14:paraId="0082BCB4">
            <w:pPr>
              <w:pStyle w:val="2"/>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柜体支架材质要求：选用全优质304不锈钢材质，造型采用倾斜式设计；</w:t>
            </w:r>
          </w:p>
          <w:p w14:paraId="572F1193">
            <w:pPr>
              <w:pStyle w:val="2"/>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柜门材质要求：采用彩色钢化玻璃；</w:t>
            </w:r>
          </w:p>
          <w:p w14:paraId="01768C77">
            <w:pPr>
              <w:pStyle w:val="2"/>
              <w:keepNext w:val="0"/>
              <w:keepLines w:val="0"/>
              <w:pageBreakBefore w:val="0"/>
              <w:widowControl/>
              <w:numPr>
                <w:ilvl w:val="0"/>
                <w:numId w:val="13"/>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柜体底板材质要求：柜体底板采用PVC塑钢板材质。</w:t>
            </w:r>
          </w:p>
        </w:tc>
      </w:tr>
      <w:tr w14:paraId="7151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7770898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14</w:t>
            </w:r>
          </w:p>
        </w:tc>
        <w:tc>
          <w:tcPr>
            <w:tcW w:w="1553" w:type="dxa"/>
            <w:vAlign w:val="center"/>
          </w:tcPr>
          <w:p w14:paraId="747C6DE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低温真空干燥柜</w:t>
            </w:r>
          </w:p>
        </w:tc>
        <w:tc>
          <w:tcPr>
            <w:tcW w:w="7414" w:type="dxa"/>
            <w:vAlign w:val="center"/>
          </w:tcPr>
          <w:p w14:paraId="0BC011BE">
            <w:pPr>
              <w:pStyle w:val="2"/>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设备结构：立式，双扉结构；容积≥100L；</w:t>
            </w:r>
          </w:p>
          <w:p w14:paraId="369CD87E">
            <w:pPr>
              <w:pStyle w:val="2"/>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舱体结构和材质：方形舱体，上下双舱体结构，分开独立运行，铝合金材质导热性能好；</w:t>
            </w:r>
          </w:p>
          <w:p w14:paraId="67870E52">
            <w:pPr>
              <w:pStyle w:val="2"/>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装载量≥4个器械托盘；</w:t>
            </w:r>
          </w:p>
          <w:p w14:paraId="54B1B164">
            <w:pPr>
              <w:pStyle w:val="2"/>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控制器要求：控制系统采用≥7英寸彩色触摸屏显示控制，可显示舱壁温度、舱内压力、运行时间、报警信息等参数；</w:t>
            </w:r>
          </w:p>
          <w:p w14:paraId="375C6243">
            <w:pPr>
              <w:pStyle w:val="2"/>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具有一键启动功能，具有故障自动检测功能；</w:t>
            </w:r>
          </w:p>
          <w:p w14:paraId="72838C3A">
            <w:pPr>
              <w:pStyle w:val="2"/>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智能模式：设备利用高精度传感器技术，智能判断腔内物品的干燥情况；物品干燥后，程序自动结束，具有一键干燥功能；</w:t>
            </w:r>
          </w:p>
          <w:p w14:paraId="04854008">
            <w:pPr>
              <w:pStyle w:val="2"/>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控制系统：采用工业级PLC控制系统，非民用安卓型系统；</w:t>
            </w:r>
          </w:p>
          <w:p w14:paraId="4E684CE8">
            <w:pPr>
              <w:pStyle w:val="2"/>
              <w:keepNext w:val="0"/>
              <w:keepLines w:val="0"/>
              <w:pageBreakBefore w:val="0"/>
              <w:widowControl/>
              <w:numPr>
                <w:ilvl w:val="0"/>
                <w:numId w:val="14"/>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门锁装置：电动锁，自动检测门关位；</w:t>
            </w:r>
          </w:p>
        </w:tc>
      </w:tr>
      <w:tr w14:paraId="71453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14:paraId="1FF2CF1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15</w:t>
            </w:r>
          </w:p>
        </w:tc>
        <w:tc>
          <w:tcPr>
            <w:tcW w:w="1553" w:type="dxa"/>
            <w:vAlign w:val="center"/>
          </w:tcPr>
          <w:p w14:paraId="6B64E10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酸性氧化电位水</w:t>
            </w:r>
          </w:p>
        </w:tc>
        <w:tc>
          <w:tcPr>
            <w:tcW w:w="7414" w:type="dxa"/>
            <w:vAlign w:val="center"/>
          </w:tcPr>
          <w:p w14:paraId="70BDB178">
            <w:pPr>
              <w:pStyle w:val="2"/>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电源：AC220V 50Hz、额定功率750VA、待机功率≤10W。</w:t>
            </w:r>
          </w:p>
          <w:p w14:paraId="2ABF7C60">
            <w:pPr>
              <w:pStyle w:val="2"/>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消毒液生成量：每分钟酸化水的生成量为2.0L、碱性水的生成量为2.0L。</w:t>
            </w:r>
          </w:p>
          <w:p w14:paraId="4ACD0180">
            <w:pPr>
              <w:pStyle w:val="2"/>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消毒液技术指标：pH值2.0-3.0，ORP值≥1100mv，有效氯含量60±10mg/L，氯离子含量&lt;500mg/L。</w:t>
            </w:r>
          </w:p>
          <w:p w14:paraId="06DA8F79">
            <w:pPr>
              <w:pStyle w:val="2"/>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设备主要性能：实时在线显示pH值、ORP值、有效氯含量、电解电流、累计运行时间等参数，随时监测消毒液的技术指标；消毒液不合格自动报警。</w:t>
            </w:r>
          </w:p>
          <w:p w14:paraId="569C235B">
            <w:pPr>
              <w:pStyle w:val="2"/>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控制方式：人机界面采用7寸液晶触摸屏操作，采用全自动PLC程序控制；</w:t>
            </w:r>
          </w:p>
          <w:p w14:paraId="2431C5A6">
            <w:pPr>
              <w:pStyle w:val="2"/>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设备组成：主要由控制系统PLC、7寸触摸屏、电解槽、监测仪等组成；酸碱水箱、原水箱可以根据用户选配定制，设备主机采用一体式结构；</w:t>
            </w:r>
          </w:p>
          <w:p w14:paraId="5608D4A4">
            <w:pPr>
              <w:pStyle w:val="2"/>
              <w:keepNext w:val="0"/>
              <w:keepLines w:val="0"/>
              <w:pageBreakBefore w:val="0"/>
              <w:widowControl/>
              <w:numPr>
                <w:ilvl w:val="0"/>
                <w:numId w:val="15"/>
              </w:numPr>
              <w:suppressLineNumbers w:val="0"/>
              <w:kinsoku/>
              <w:wordWrap/>
              <w:overflowPunct/>
              <w:topLinePunct w:val="0"/>
              <w:autoSpaceDE/>
              <w:autoSpaceDN/>
              <w:bidi w:val="0"/>
              <w:adjustRightInd/>
              <w:snapToGrid/>
              <w:spacing w:before="0" w:beforeAutospacing="0" w:after="0" w:afterAutospacing="0" w:line="240" w:lineRule="auto"/>
              <w:ind w:left="425" w:leftChars="0" w:right="0" w:hanging="425" w:firstLineChars="0"/>
              <w:jc w:val="left"/>
              <w:textAlignment w:val="auto"/>
              <w:rPr>
                <w:rFonts w:hint="eastAsia" w:ascii="宋体" w:hAnsi="宋体" w:eastAsia="宋体" w:cs="宋体"/>
                <w:b w:val="0"/>
                <w:bCs w:val="0"/>
                <w:i w:val="0"/>
                <w:iCs w:val="0"/>
                <w:caps w:val="0"/>
                <w:color w:val="auto"/>
                <w:spacing w:val="0"/>
                <w:sz w:val="24"/>
                <w:szCs w:val="24"/>
                <w:lang w:val="en-US" w:eastAsia="zh-CN"/>
              </w:rPr>
            </w:pPr>
            <w:r>
              <w:rPr>
                <w:rFonts w:hint="eastAsia" w:ascii="宋体" w:hAnsi="宋体" w:eastAsia="宋体" w:cs="宋体"/>
                <w:b w:val="0"/>
                <w:bCs w:val="0"/>
                <w:i w:val="0"/>
                <w:iCs w:val="0"/>
                <w:caps w:val="0"/>
                <w:color w:val="auto"/>
                <w:spacing w:val="0"/>
                <w:sz w:val="24"/>
                <w:szCs w:val="24"/>
                <w:lang w:val="en-US" w:eastAsia="zh-CN"/>
              </w:rPr>
              <w:t>消毒液输送系统：设备配备耐酸碱腐蚀增压泵、可适应远距离用水点，根据用水点的使用情况，增压泵自动启停运行。</w:t>
            </w:r>
          </w:p>
        </w:tc>
      </w:tr>
    </w:tbl>
    <w:p w14:paraId="2EA099C6">
      <w:pPr>
        <w:rPr>
          <w:rFonts w:hint="eastAsia" w:ascii="仿宋" w:hAnsi="仿宋" w:eastAsia="仿宋" w:cs="仿宋"/>
          <w:b/>
          <w:bCs/>
          <w:i w:val="0"/>
          <w:iCs w:val="0"/>
          <w:caps w:val="0"/>
          <w:color w:val="auto"/>
          <w:spacing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7A50FF"/>
    <w:multiLevelType w:val="singleLevel"/>
    <w:tmpl w:val="887A50FF"/>
    <w:lvl w:ilvl="0" w:tentative="0">
      <w:start w:val="1"/>
      <w:numFmt w:val="decimal"/>
      <w:lvlText w:val="%1."/>
      <w:lvlJc w:val="left"/>
      <w:pPr>
        <w:ind w:left="425" w:hanging="425"/>
      </w:pPr>
      <w:rPr>
        <w:rFonts w:hint="default"/>
      </w:rPr>
    </w:lvl>
  </w:abstractNum>
  <w:abstractNum w:abstractNumId="1">
    <w:nsid w:val="AC78CF78"/>
    <w:multiLevelType w:val="singleLevel"/>
    <w:tmpl w:val="AC78CF78"/>
    <w:lvl w:ilvl="0" w:tentative="0">
      <w:start w:val="1"/>
      <w:numFmt w:val="decimal"/>
      <w:lvlText w:val="%1."/>
      <w:lvlJc w:val="left"/>
      <w:pPr>
        <w:ind w:left="425" w:hanging="425"/>
      </w:pPr>
      <w:rPr>
        <w:rFonts w:hint="default"/>
      </w:rPr>
    </w:lvl>
  </w:abstractNum>
  <w:abstractNum w:abstractNumId="2">
    <w:nsid w:val="DBB236F2"/>
    <w:multiLevelType w:val="singleLevel"/>
    <w:tmpl w:val="DBB236F2"/>
    <w:lvl w:ilvl="0" w:tentative="0">
      <w:start w:val="1"/>
      <w:numFmt w:val="decimal"/>
      <w:lvlText w:val="%1."/>
      <w:lvlJc w:val="left"/>
      <w:pPr>
        <w:ind w:left="425" w:hanging="425"/>
      </w:pPr>
      <w:rPr>
        <w:rFonts w:hint="default"/>
      </w:rPr>
    </w:lvl>
  </w:abstractNum>
  <w:abstractNum w:abstractNumId="3">
    <w:nsid w:val="E1DB6935"/>
    <w:multiLevelType w:val="singleLevel"/>
    <w:tmpl w:val="E1DB6935"/>
    <w:lvl w:ilvl="0" w:tentative="0">
      <w:start w:val="1"/>
      <w:numFmt w:val="decimal"/>
      <w:lvlText w:val="%1."/>
      <w:lvlJc w:val="left"/>
      <w:pPr>
        <w:ind w:left="425" w:hanging="425"/>
      </w:pPr>
      <w:rPr>
        <w:rFonts w:hint="default"/>
      </w:rPr>
    </w:lvl>
  </w:abstractNum>
  <w:abstractNum w:abstractNumId="4">
    <w:nsid w:val="EA767110"/>
    <w:multiLevelType w:val="singleLevel"/>
    <w:tmpl w:val="EA767110"/>
    <w:lvl w:ilvl="0" w:tentative="0">
      <w:start w:val="1"/>
      <w:numFmt w:val="decimal"/>
      <w:lvlText w:val="%1."/>
      <w:lvlJc w:val="left"/>
      <w:pPr>
        <w:tabs>
          <w:tab w:val="left" w:pos="420"/>
        </w:tabs>
        <w:ind w:left="425" w:leftChars="0" w:hanging="425" w:firstLineChars="0"/>
      </w:pPr>
      <w:rPr>
        <w:rFonts w:hint="default"/>
      </w:rPr>
    </w:lvl>
  </w:abstractNum>
  <w:abstractNum w:abstractNumId="5">
    <w:nsid w:val="04D3EC31"/>
    <w:multiLevelType w:val="singleLevel"/>
    <w:tmpl w:val="04D3EC31"/>
    <w:lvl w:ilvl="0" w:tentative="0">
      <w:start w:val="1"/>
      <w:numFmt w:val="decimal"/>
      <w:lvlText w:val="%1."/>
      <w:lvlJc w:val="left"/>
      <w:pPr>
        <w:ind w:left="425" w:hanging="425"/>
      </w:pPr>
      <w:rPr>
        <w:rFonts w:hint="default"/>
      </w:rPr>
    </w:lvl>
  </w:abstractNum>
  <w:abstractNum w:abstractNumId="6">
    <w:nsid w:val="2445B58B"/>
    <w:multiLevelType w:val="singleLevel"/>
    <w:tmpl w:val="2445B58B"/>
    <w:lvl w:ilvl="0" w:tentative="0">
      <w:start w:val="1"/>
      <w:numFmt w:val="decimal"/>
      <w:lvlText w:val="%1."/>
      <w:lvlJc w:val="left"/>
      <w:pPr>
        <w:ind w:left="425" w:hanging="425"/>
      </w:pPr>
      <w:rPr>
        <w:rFonts w:hint="default"/>
      </w:rPr>
    </w:lvl>
  </w:abstractNum>
  <w:abstractNum w:abstractNumId="7">
    <w:nsid w:val="283B8460"/>
    <w:multiLevelType w:val="singleLevel"/>
    <w:tmpl w:val="283B8460"/>
    <w:lvl w:ilvl="0" w:tentative="0">
      <w:start w:val="1"/>
      <w:numFmt w:val="decimal"/>
      <w:lvlText w:val="%1."/>
      <w:lvlJc w:val="left"/>
      <w:pPr>
        <w:ind w:left="425" w:hanging="425"/>
      </w:pPr>
      <w:rPr>
        <w:rFonts w:hint="default"/>
      </w:rPr>
    </w:lvl>
  </w:abstractNum>
  <w:abstractNum w:abstractNumId="8">
    <w:nsid w:val="3CF241BA"/>
    <w:multiLevelType w:val="singleLevel"/>
    <w:tmpl w:val="3CF241BA"/>
    <w:lvl w:ilvl="0" w:tentative="0">
      <w:start w:val="1"/>
      <w:numFmt w:val="decimal"/>
      <w:lvlText w:val="%1."/>
      <w:lvlJc w:val="left"/>
      <w:pPr>
        <w:ind w:left="425" w:hanging="425"/>
      </w:pPr>
      <w:rPr>
        <w:rFonts w:hint="default"/>
      </w:rPr>
    </w:lvl>
  </w:abstractNum>
  <w:abstractNum w:abstractNumId="9">
    <w:nsid w:val="4329DBE5"/>
    <w:multiLevelType w:val="singleLevel"/>
    <w:tmpl w:val="4329DBE5"/>
    <w:lvl w:ilvl="0" w:tentative="0">
      <w:start w:val="1"/>
      <w:numFmt w:val="decimal"/>
      <w:lvlText w:val="%1."/>
      <w:lvlJc w:val="left"/>
      <w:pPr>
        <w:ind w:left="425" w:hanging="425"/>
      </w:pPr>
      <w:rPr>
        <w:rFonts w:hint="default"/>
      </w:rPr>
    </w:lvl>
  </w:abstractNum>
  <w:abstractNum w:abstractNumId="10">
    <w:nsid w:val="45D18730"/>
    <w:multiLevelType w:val="singleLevel"/>
    <w:tmpl w:val="45D18730"/>
    <w:lvl w:ilvl="0" w:tentative="0">
      <w:start w:val="1"/>
      <w:numFmt w:val="decimal"/>
      <w:lvlText w:val="%1."/>
      <w:lvlJc w:val="left"/>
      <w:pPr>
        <w:ind w:left="425" w:hanging="425"/>
      </w:pPr>
      <w:rPr>
        <w:rFonts w:hint="default"/>
      </w:rPr>
    </w:lvl>
  </w:abstractNum>
  <w:abstractNum w:abstractNumId="11">
    <w:nsid w:val="587395E0"/>
    <w:multiLevelType w:val="singleLevel"/>
    <w:tmpl w:val="587395E0"/>
    <w:lvl w:ilvl="0" w:tentative="0">
      <w:start w:val="1"/>
      <w:numFmt w:val="decimal"/>
      <w:lvlText w:val="%1."/>
      <w:lvlJc w:val="left"/>
      <w:pPr>
        <w:ind w:left="425" w:hanging="425"/>
      </w:pPr>
      <w:rPr>
        <w:rFonts w:hint="default"/>
      </w:rPr>
    </w:lvl>
  </w:abstractNum>
  <w:abstractNum w:abstractNumId="12">
    <w:nsid w:val="681F7FA2"/>
    <w:multiLevelType w:val="singleLevel"/>
    <w:tmpl w:val="681F7FA2"/>
    <w:lvl w:ilvl="0" w:tentative="0">
      <w:start w:val="1"/>
      <w:numFmt w:val="decimal"/>
      <w:lvlText w:val="%1."/>
      <w:lvlJc w:val="left"/>
      <w:pPr>
        <w:ind w:left="425" w:hanging="425"/>
      </w:pPr>
      <w:rPr>
        <w:rFonts w:hint="default"/>
      </w:rPr>
    </w:lvl>
  </w:abstractNum>
  <w:abstractNum w:abstractNumId="13">
    <w:nsid w:val="6BF81DD2"/>
    <w:multiLevelType w:val="singleLevel"/>
    <w:tmpl w:val="6BF81DD2"/>
    <w:lvl w:ilvl="0" w:tentative="0">
      <w:start w:val="1"/>
      <w:numFmt w:val="decimal"/>
      <w:lvlText w:val="%1."/>
      <w:lvlJc w:val="left"/>
      <w:pPr>
        <w:ind w:left="425" w:hanging="425"/>
      </w:pPr>
      <w:rPr>
        <w:rFonts w:hint="default"/>
      </w:rPr>
    </w:lvl>
  </w:abstractNum>
  <w:abstractNum w:abstractNumId="14">
    <w:nsid w:val="71B6EE13"/>
    <w:multiLevelType w:val="singleLevel"/>
    <w:tmpl w:val="71B6EE13"/>
    <w:lvl w:ilvl="0" w:tentative="0">
      <w:start w:val="1"/>
      <w:numFmt w:val="decimal"/>
      <w:lvlText w:val="%1."/>
      <w:lvlJc w:val="left"/>
      <w:pPr>
        <w:ind w:left="425" w:hanging="425"/>
      </w:pPr>
      <w:rPr>
        <w:rFonts w:hint="default"/>
      </w:rPr>
    </w:lvl>
  </w:abstractNum>
  <w:num w:numId="1">
    <w:abstractNumId w:val="9"/>
  </w:num>
  <w:num w:numId="2">
    <w:abstractNumId w:val="0"/>
  </w:num>
  <w:num w:numId="3">
    <w:abstractNumId w:val="12"/>
  </w:num>
  <w:num w:numId="4">
    <w:abstractNumId w:val="4"/>
  </w:num>
  <w:num w:numId="5">
    <w:abstractNumId w:val="5"/>
  </w:num>
  <w:num w:numId="6">
    <w:abstractNumId w:val="14"/>
  </w:num>
  <w:num w:numId="7">
    <w:abstractNumId w:val="13"/>
  </w:num>
  <w:num w:numId="8">
    <w:abstractNumId w:val="11"/>
  </w:num>
  <w:num w:numId="9">
    <w:abstractNumId w:val="2"/>
  </w:num>
  <w:num w:numId="10">
    <w:abstractNumId w:val="3"/>
  </w:num>
  <w:num w:numId="11">
    <w:abstractNumId w:val="7"/>
  </w:num>
  <w:num w:numId="12">
    <w:abstractNumId w:val="8"/>
  </w:num>
  <w:num w:numId="13">
    <w:abstractNumId w:val="6"/>
  </w:num>
  <w:num w:numId="14">
    <w:abstractNumId w:val="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5303EC"/>
    <w:rsid w:val="015A60BA"/>
    <w:rsid w:val="0B5750F6"/>
    <w:rsid w:val="125303EC"/>
    <w:rsid w:val="164F6FA2"/>
    <w:rsid w:val="28292E99"/>
    <w:rsid w:val="35E05D71"/>
    <w:rsid w:val="39CF6DBA"/>
    <w:rsid w:val="3DC94AAA"/>
    <w:rsid w:val="3EF67B21"/>
    <w:rsid w:val="473F7B8B"/>
    <w:rsid w:val="4A5120AF"/>
    <w:rsid w:val="4C3D7BC4"/>
    <w:rsid w:val="6E065A39"/>
    <w:rsid w:val="709D59AA"/>
    <w:rsid w:val="74235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3177</Words>
  <Characters>3582</Characters>
  <Lines>0</Lines>
  <Paragraphs>0</Paragraphs>
  <TotalTime>0</TotalTime>
  <ScaleCrop>false</ScaleCrop>
  <LinksUpToDate>false</LinksUpToDate>
  <CharactersWithSpaces>3597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2026-01-07T03:03:00Z</dcterms:created>
  <dc:creator>二十重曾志伟</dc:creator>
  <cp:lastModifiedBy>四医院宣传科</cp:lastModifiedBy>
  <dcterms:modified xsi:type="dcterms:W3CDTF">2026-01-08T01:20:10Z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A5AACAC73AD1498D9F41BC6D27B31AC4_13</vt:lpwstr>
  </property>
  <property fmtid="{D5CDD505-2E9C-101B-9397-08002B2CF9AE}" pid="4" name="KSOTemplateDocerSaveRecord">
    <vt:lpwstr>eyJoZGlkIjoiZTU5YmRmYjA0MTM3N2ViMGVjN2QwNTdmNDI5NjFhMzEiLCJ1c2VySWQiOiIzMjAwNjgxMzQifQ==</vt:lpwstr>
  </property>
</Properties>
</file>