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rPr>
          <w:rFonts w:hint="default" w:ascii="等线" w:hAnsi="等线" w:eastAsia="等线" w:cs="等线"/>
          <w:color w:val="000000"/>
          <w:sz w:val="24"/>
          <w:szCs w:val="24"/>
        </w:rPr>
        <w:t>售后维护服务参数：</w:t>
      </w:r>
    </w:p>
    <w:tbl>
      <w:tblPr>
        <w:tblStyle w:val="3"/>
        <w:tblW w:w="0" w:type="auto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900"/>
        <w:gridCol w:w="5475"/>
        <w:gridCol w:w="703"/>
        <w:gridCol w:w="7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tblCellSpacing w:w="0" w:type="dxa"/>
          <w:jc w:val="center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20" w:afterAutospacing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模块内容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功能参数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售后维护服务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年限为一年；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医院HIS、LIS、PACS、RIS、EMR等主要业务系统的售后维保服务；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系统故障排查和修复：对系统出现的各类问题进行及时的排查和修复，确保系统的正常运行。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数据备份、恢复及清理：定期对系统数据进行备份，以防数据丢失或损坏，同时提供数据恢复服务。定期清理运维过程中所生成的生产数据库中的临时表，从应用系统角度来优化数据库，如建立并优化索引、优化存储过程、数据库表拆分等，提高应用系统运行速度。对于数据库参数方面的优化工作，可提出建议和要求，并辅助数据库厂商或运维上进行数据库性能优化。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系统升级和优化：根据医院的实际需求，对系统进行升级和优化，提高系统的性能和稳定性。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咨询和巡检服务：帮助解答医院提出的软件相关的各种业务和技术问题，包括技术咨询、指导和信息提供等。运维故障报告撰写，并定期对系统进行巡查工作。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  <w:t>7、</w:t>
            </w: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用户培训和技术支持：对医院的操作人员进行系统操作的培训，提供技术支持，解决医院在使用过程中遇到的各类问题。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  <w:t>8、</w:t>
            </w: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其他支持：配合医院提供相关数据以及达标相关工作。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9、甲乙双方提供各自正确的沟通渠道方式，如发生信息变更(如:甲方信息科人员、项目负责人、单位法人及电话号码等;乙方各部门负责人及电话号码，管理流程等；双方应第一时间以书面形式通知对方；避免信息没及时更新给甲方代理服务质量问题)；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10、如发生与合同条款有关的争执，双方应通过友好协商解决。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1年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/</w:t>
            </w:r>
          </w:p>
        </w:tc>
      </w:tr>
    </w:tbl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kZTFmNjAwZDllOTFmNzgzMmI5M2YzZTJkODA4OGEifQ=="/>
  </w:docVars>
  <w:rsids>
    <w:rsidRoot w:val="5A670394"/>
    <w:rsid w:val="5A67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2026-03-04T02:05:00Z</dcterms:created>
  <dc:creator>佩</dc:creator>
  <cp:lastModifiedBy>佩</cp:lastModifiedBy>
  <dcterms:modified xsi:type="dcterms:W3CDTF">2026-03-04T02:05:21Z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FDF70DAC2770498FB23D5C4CD3385562</vt:lpwstr>
  </property>
</Properties>
</file>