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广元市精神卫生中心</w:t>
      </w:r>
    </w:p>
    <w:p>
      <w:pPr>
        <w:jc w:val="center"/>
        <w:rPr>
          <w:rFonts w:eastAsia="宋体"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污水处理站运维服务</w:t>
      </w:r>
      <w:r>
        <w:rPr>
          <w:rFonts w:hint="eastAsia"/>
          <w:b/>
          <w:bCs/>
          <w:sz w:val="36"/>
          <w:szCs w:val="36"/>
          <w:lang w:eastAsia="zh-CN"/>
        </w:rPr>
        <w:t>基本</w:t>
      </w:r>
      <w:r>
        <w:rPr>
          <w:b/>
          <w:bCs/>
          <w:sz w:val="36"/>
          <w:szCs w:val="36"/>
          <w:lang w:eastAsia="zh-CN"/>
        </w:rPr>
        <w:t>内容</w:t>
      </w:r>
    </w:p>
    <w:p>
      <w:pPr>
        <w:ind w:left="0"/>
        <w:rPr>
          <w:rFonts w:ascii="仿宋_GB2312" w:eastAsia="仿宋_GB2312" w:cs="仿宋_GB2312" w:hAnsi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Ansi="仿宋_GB2312" w:hint="eastAsia"/>
          <w:sz w:val="32"/>
          <w:szCs w:val="32"/>
        </w:rPr>
        <w:t>一、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医院简介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广元市精神卫生中心（市第三人民医院、市传染病医院、市老年病医院，利州区第一人民医院）是国家三级甲等医院，四川省六大区域精神卫生中心之一；医院是全国文明单位、国家住院医师规培基地、国家临床药物试验基地和全国改善医疗服务、肿瘤微创、后勤管理等示范医院。</w:t>
      </w:r>
    </w:p>
    <w:p>
      <w:pPr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二、院区污水处理站现况：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污水处理站运营管理服务界限：以污水收集管道末端（污水站机械格栅）为物理边界，前端污水产生、收集为我院管理范畴；后端进入污水处理系统后接入市政管网前为乙方管理范围。具体设施及设备情况以现场实际踏勘为准。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西</w:t>
      </w:r>
      <w:r>
        <w:rPr>
          <w:rFonts w:ascii="仿宋_GB2312" w:eastAsia="仿宋_GB2312" w:cs="仿宋_GB2312" w:hAnsi="仿宋_GB2312" w:hint="eastAsia"/>
          <w:sz w:val="32"/>
          <w:szCs w:val="32"/>
        </w:rPr>
        <w:t>区：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西区污水处理站设计</w:t>
      </w:r>
      <w:r>
        <w:rPr>
          <w:rFonts w:ascii="仿宋_GB2312" w:eastAsia="仿宋_GB2312" w:cs="仿宋_GB2312" w:hAnsi="仿宋_GB2312" w:hint="eastAsia"/>
          <w:sz w:val="32"/>
          <w:szCs w:val="32"/>
        </w:rPr>
        <w:t>设计处理能力为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1000</w:t>
      </w:r>
      <w:r>
        <w:rPr>
          <w:rFonts w:ascii="仿宋_GB2312" w:eastAsia="仿宋_GB2312" w:cs="仿宋_GB2312" w:hAnsi="仿宋_GB2312" w:hint="eastAsia"/>
          <w:sz w:val="32"/>
          <w:szCs w:val="32"/>
        </w:rPr>
        <w:t>吨/天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。排放标准为《医疗机构水污染物排放标准》（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GB18466-2005）中表2 综合医疗机构排放标准</w:t>
      </w:r>
      <w:r>
        <w:rPr>
          <w:rFonts w:ascii="仿宋_GB2312" w:eastAsia="仿宋_GB2312" w:cs="仿宋_GB2312" w:hAnsi="仿宋_GB2312" w:hint="eastAsia"/>
          <w:sz w:val="32"/>
          <w:szCs w:val="32"/>
        </w:rPr>
        <w:t>。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东</w:t>
      </w:r>
      <w:r>
        <w:rPr>
          <w:rFonts w:ascii="仿宋_GB2312" w:eastAsia="仿宋_GB2312" w:cs="仿宋_GB2312" w:hAnsi="仿宋_GB2312" w:hint="eastAsia"/>
          <w:sz w:val="32"/>
          <w:szCs w:val="32"/>
        </w:rPr>
        <w:t>区：污水处理站采用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地埋式接触氧化工艺</w:t>
      </w:r>
      <w:r>
        <w:rPr>
          <w:rFonts w:ascii="仿宋_GB2312" w:eastAsia="仿宋_GB2312" w:cs="仿宋_GB2312" w:hAnsi="仿宋_GB2312" w:hint="eastAsia"/>
          <w:sz w:val="32"/>
          <w:szCs w:val="32"/>
        </w:rPr>
        <w:t>，设计处理能力为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500</w:t>
      </w:r>
      <w:r>
        <w:rPr>
          <w:rFonts w:ascii="仿宋_GB2312" w:eastAsia="仿宋_GB2312" w:cs="仿宋_GB2312" w:hAnsi="仿宋_GB2312" w:hint="eastAsia"/>
          <w:sz w:val="32"/>
          <w:szCs w:val="32"/>
        </w:rPr>
        <w:t>吨/天，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设计排放标准为《医疗机构水污染物排放标准》（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GB18466-2005）中表1 传染病结核病医疗机构排放标准</w:t>
      </w:r>
      <w:r>
        <w:rPr>
          <w:rFonts w:ascii="仿宋_GB2312" w:eastAsia="仿宋_GB2312" w:cs="仿宋_GB2312" w:hAnsi="仿宋_GB2312" w:hint="eastAsia"/>
          <w:sz w:val="32"/>
          <w:szCs w:val="32"/>
        </w:rPr>
        <w:t>。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上西分院：</w:t>
      </w:r>
      <w:r>
        <w:rPr>
          <w:rFonts w:ascii="仿宋_GB2312" w:eastAsia="仿宋_GB2312" w:cs="仿宋_GB2312" w:hAnsi="仿宋_GB2312" w:hint="eastAsia"/>
          <w:sz w:val="32"/>
          <w:szCs w:val="32"/>
        </w:rPr>
        <w:t>污水处理站采用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地埋式接触氧化工艺，</w:t>
      </w:r>
      <w:r>
        <w:rPr>
          <w:rFonts w:ascii="仿宋_GB2312" w:eastAsia="仿宋_GB2312" w:cs="仿宋_GB2312" w:hAnsi="仿宋_GB2312" w:hint="eastAsia"/>
          <w:sz w:val="32"/>
          <w:szCs w:val="32"/>
        </w:rPr>
        <w:t>设计处理能力为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0吨/天，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设计排放标准为《医疗机构水污染物排放标准》（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GB18466-2005）中表2 综合医疗机构排放标准</w:t>
      </w:r>
      <w:r>
        <w:rPr>
          <w:rFonts w:ascii="仿宋_GB2312" w:eastAsia="仿宋_GB2312" w:cs="仿宋_GB2312" w:hAnsi="仿宋_GB2312" w:hint="eastAsia"/>
          <w:sz w:val="32"/>
          <w:szCs w:val="32"/>
        </w:rPr>
        <w:t>。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运营管理</w:t>
      </w:r>
      <w:r>
        <w:rPr>
          <w:rFonts w:ascii="仿宋_GB2312" w:eastAsia="仿宋_GB2312" w:cs="仿宋_GB2312" w:hAnsi="仿宋_GB2312" w:hint="eastAsia"/>
          <w:sz w:val="32"/>
          <w:szCs w:val="32"/>
        </w:rPr>
        <w:t>内容：</w:t>
      </w:r>
    </w:p>
    <w:p>
      <w:pPr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运营地点：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广元市精神卫生中心东区、西区和上西分院；</w:t>
      </w:r>
    </w:p>
    <w:tbl>
      <w:tblPr>
        <w:jc w:val="center"/>
        <w:tblW w:w="94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8"/>
        <w:gridCol w:w="1584"/>
        <w:gridCol w:w="2500"/>
        <w:gridCol w:w="4601"/>
      </w:tblGrid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服务项目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承担费用范围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说明</w:t>
            </w:r>
          </w:p>
        </w:tc>
      </w:tr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值班人员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工资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持证上岗</w:t>
            </w:r>
          </w:p>
        </w:tc>
      </w:tr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设备维保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维修费、材料配件费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含1</w:t>
            </w:r>
            <w:r>
              <w:rPr>
                <w:rFonts w:cs="宋体" w:hint="eastAsi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00元以内单独配件费用</w:t>
            </w:r>
          </w:p>
        </w:tc>
      </w:tr>
      <w:tr>
        <w:trPr>
          <w:trHeight w:hRule="exact" w:val="76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药剂采购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所有污水处理药剂费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cs="宋体" w:hint="eastAsi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lang w:eastAsia="zh-CN"/>
              </w:rPr>
              <w:t>包括但</w:t>
            </w: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不</w:t>
            </w:r>
            <w:r>
              <w:rPr>
                <w:rFonts w:cs="宋体" w:hint="eastAsi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lang w:eastAsia="zh-CN"/>
              </w:rPr>
              <w:t>仅</w:t>
            </w: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限于消毒药剂、絮凝药剂、应急处理药剂</w:t>
            </w:r>
          </w:p>
        </w:tc>
      </w:tr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运行检测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所有必须的检测费用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检测费用</w:t>
            </w:r>
          </w:p>
        </w:tc>
      </w:tr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污水站清淤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清淤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按环保部门规范处理</w:t>
            </w:r>
          </w:p>
        </w:tc>
      </w:tr>
      <w:tr>
        <w:trPr>
          <w:trHeight w:hRule="exact" w:val="510"/>
        </w:trPr>
        <w:tc>
          <w:tcPr>
            <w:tcW w:w="718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配合医院工作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人员及基本协调工作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>负责做好环保部门沟通、迎接各种检查</w:t>
            </w:r>
          </w:p>
        </w:tc>
      </w:tr>
    </w:tbl>
    <w:p>
      <w:pPr>
        <w:numPr>
          <w:ilvl w:val="0"/>
          <w:numId w:val="1"/>
        </w:numPr>
        <w:ind w:left="0" w:firstLine="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1.严格按环保规范进行运营，保障出水水质持续达标排放。杜绝环保事故和安全生产事故，承担安全生产责任。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2.根据国家有关法律法规，建立健全运营服务规章制度、岗位职责、操作规范、维修操作、应急预案、安全管理制度、年度工作计划等，并按时完成各种表格的填写。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3.污水处理站要求24小时有人值守，运行期间保证有专职人员在岗，值班电话24小时畅通，乙方负责人通讯方式24小时畅通。负责对每位运行人员进行污水系统自动化控制及手动控制培训，合格后方可上岗；并安排专人对自控系统进行维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4.乙方对运行管理人员的人身安全保障负责，乙方用工应签订劳动合同办理各种用工手续，并考虑在项目实施过程中所存在或潜在的一切风险，如因用工造成安全事故、人员伤亡、财物损毁等所带来的经济责任与法律责任均由乙方自行承担，与甲方无关，乙方或第三人不得以此追究甲方的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pacing w:val="-6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5.</w:t>
      </w:r>
      <w:r>
        <w:rPr>
          <w:rFonts w:ascii="仿宋_GB2312" w:eastAsia="仿宋_GB2312" w:hint="eastAsia"/>
          <w:sz w:val="32"/>
          <w:szCs w:val="32"/>
        </w:rPr>
        <w:t>污水处理站运维服务管理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工作所需的一切办公用品、药品、维修工具</w:t>
      </w:r>
      <w:r>
        <w:rPr>
          <w:rFonts w:ascii="仿宋_GB2312" w:eastAsia="仿宋_GB2312" w:cs="仿宋_GB2312" w:hAnsi="仿宋_GB2312" w:hint="eastAsia"/>
          <w:spacing w:val="-6"/>
          <w:sz w:val="32"/>
          <w:szCs w:val="32"/>
          <w:lang w:val="en-US" w:eastAsia="zh-CN"/>
        </w:rPr>
        <w:t>及人员服装，保险、福利、加班费等一切费用由乙方承担。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6.设备操作和管理。确保人员在岗，建立技术档案、设备台账。合同期内保证设备、材料完好率100%，处理系统正常稳定运行。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7.设备的维修和保养。建立年度检测计划，定期进行设备的预防性维护和保养，梳理并完善备品备件清单；设备损坏要及时维修，每次检修都应做详细记录。设备的日常维修维护由乙方负责，维修事项费用在1500元以内（包含本数）由乙方承担，费用在1500元以上的维修事项经甲方同意后，由乙方负责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8.定期监测。严格执行排污许可证规定的排放标准及其他国家或行业标准，包括医院内部运营管理中关于监测的要求。出现指标异常时，应第一时间向甲方进行报告并根据情况启动应急预案；因乙方拖延向甲方报告并造成损失或扩大损失的，由乙方承担损失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9.药剂和固体废物的要求。药剂须通过正规渠道采购，</w:t>
      </w:r>
      <w:r>
        <w:rPr>
          <w:rFonts w:ascii="仿宋_GB2312" w:eastAsia="仿宋_GB2312" w:cs="仿宋_GB2312" w:hAnsi="仿宋_GB2312"/>
          <w:sz w:val="32"/>
          <w:szCs w:val="32"/>
          <w:lang w:val="en-US" w:eastAsia="zh-CN"/>
        </w:rPr>
        <w:t>添加量应满足工艺需求，提供进货产品合格证明并保留采购及使用记录。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pacing w:val="-6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10.台账完整，证件齐全。针对现行操作技术和方法建立完善污水运行制度和记录，其中污水运行过程台账记录要满足《排污许可申请与核发技术规范》要求。另外，异常状况记录、维修保养记录、交接班记录、运行状况、巡视检查等均应保留记录，记录必须及</w:t>
      </w:r>
      <w:r>
        <w:rPr>
          <w:rFonts w:ascii="仿宋_GB2312" w:eastAsia="仿宋_GB2312" w:cs="仿宋_GB2312" w:hAnsi="仿宋_GB2312" w:hint="eastAsia"/>
          <w:spacing w:val="-6"/>
          <w:sz w:val="32"/>
          <w:szCs w:val="32"/>
          <w:lang w:val="en-US" w:eastAsia="zh-CN"/>
        </w:rPr>
        <w:t>时、准确、完整、清晰，实事求是。所有记录永久保存。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11.配合医院做好与环保部门的工作沟通协调，迎接各种相关检查，并完成相应内外部的环保申报工作。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12.按规范对各项水质指标及站内环境进行每日、每周、每月、每季度开展监测，并留存检测单，在自动检测设备故障情况下进行的手动检测。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b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13.</w:t>
      </w:r>
      <w:r>
        <w:rPr>
          <w:rFonts w:ascii="仿宋_GB2312" w:eastAsia="仿宋_GB2312" w:cs="仿宋_GB2312" w:hAnsi="仿宋_GB2312"/>
          <w:sz w:val="32"/>
          <w:szCs w:val="32"/>
          <w:lang w:val="en-US" w:eastAsia="zh-CN"/>
        </w:rPr>
        <w:t>乙方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对污水进行实时监控，严格按照污水排放标准及相</w:t>
      </w:r>
      <w:r>
        <w:rPr>
          <w:rFonts w:ascii="仿宋_GB2312" w:eastAsia="仿宋_GB2312" w:cs="仿宋_GB2312" w:hAnsi="仿宋_GB2312" w:hint="eastAsia"/>
          <w:b w:val="0"/>
          <w:kern w:val="2"/>
          <w:sz w:val="32"/>
          <w:szCs w:val="32"/>
          <w:lang w:val="en-US" w:eastAsia="zh-CN" w:bidi="ar-SA"/>
        </w:rPr>
        <w:t>关要求对水质进行处理</w:t>
      </w:r>
      <w:r>
        <w:rPr>
          <w:rFonts w:ascii="仿宋_GB2312" w:eastAsia="仿宋_GB2312" w:cs="仿宋_GB2312" w:hAnsi="仿宋_GB2312"/>
          <w:b w:val="0"/>
          <w:kern w:val="2"/>
          <w:sz w:val="32"/>
          <w:szCs w:val="32"/>
          <w:lang w:val="en-US" w:eastAsia="zh-CN" w:bidi="ar-SA"/>
        </w:rPr>
        <w:t>并</w:t>
      </w:r>
      <w:r>
        <w:rPr>
          <w:rFonts w:ascii="仿宋_GB2312" w:eastAsia="仿宋_GB2312" w:cs="仿宋_GB2312" w:hAnsi="仿宋_GB2312" w:hint="eastAsia"/>
          <w:b w:val="0"/>
          <w:kern w:val="2"/>
          <w:sz w:val="32"/>
          <w:szCs w:val="32"/>
          <w:lang w:val="en-US" w:eastAsia="zh-CN" w:bidi="ar-SA"/>
        </w:rPr>
        <w:t>达标排放，</w:t>
      </w:r>
      <w:r>
        <w:rPr>
          <w:rFonts w:ascii="仿宋_GB2312" w:eastAsia="仿宋_GB2312" w:cs="仿宋_GB2312" w:hAnsi="仿宋_GB2312"/>
          <w:b w:val="0"/>
          <w:kern w:val="2"/>
          <w:sz w:val="32"/>
          <w:szCs w:val="32"/>
          <w:lang w:val="en-US" w:eastAsia="zh-CN" w:bidi="ar-SA"/>
        </w:rPr>
        <w:t>未达标排放需</w:t>
      </w:r>
      <w:r>
        <w:rPr>
          <w:rFonts w:ascii="仿宋_GB2312" w:eastAsia="仿宋_GB2312" w:cs="仿宋_GB2312" w:hAnsi="仿宋_GB2312" w:hint="eastAsia"/>
          <w:b w:val="0"/>
          <w:kern w:val="2"/>
          <w:sz w:val="32"/>
          <w:szCs w:val="32"/>
          <w:lang w:val="en-US" w:eastAsia="zh-CN" w:bidi="ar-SA"/>
        </w:rPr>
        <w:t>承担污水处理超标</w:t>
      </w:r>
      <w:r>
        <w:rPr>
          <w:rFonts w:ascii="仿宋_GB2312" w:eastAsia="仿宋_GB2312" w:cs="仿宋_GB2312" w:hAnsi="仿宋_GB2312"/>
          <w:b w:val="0"/>
          <w:kern w:val="2"/>
          <w:sz w:val="32"/>
          <w:szCs w:val="32"/>
          <w:lang w:val="en-US" w:eastAsia="zh-CN" w:bidi="ar-SA"/>
        </w:rPr>
        <w:t>相应</w:t>
      </w:r>
      <w:r>
        <w:rPr>
          <w:rFonts w:ascii="仿宋_GB2312" w:eastAsia="仿宋_GB2312" w:cs="仿宋_GB2312" w:hAnsi="仿宋_GB2312" w:hint="eastAsia"/>
          <w:b w:val="0"/>
          <w:kern w:val="2"/>
          <w:sz w:val="32"/>
          <w:szCs w:val="32"/>
          <w:lang w:val="en-US" w:eastAsia="zh-CN" w:bidi="ar-SA"/>
        </w:rPr>
        <w:t>责任和环保相关部门罚款。</w:t>
      </w:r>
    </w:p>
    <w:p>
      <w:pPr>
        <w:adjustRightInd w:val="0"/>
        <w:snapToGrid w:val="0"/>
        <w:spacing w:line="576" w:lineRule="exact"/>
        <w:ind w:firstLineChars="200" w:firstLine="640"/>
        <w:rPr>
          <w:rFonts w:hint="eastAsia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14.</w:t>
      </w:r>
      <w:r>
        <w:rPr>
          <w:rFonts w:ascii="仿宋_GB2312" w:eastAsia="仿宋_GB2312" w:hint="eastAsia"/>
          <w:sz w:val="32"/>
          <w:szCs w:val="32"/>
        </w:rPr>
        <w:t>合同期内乙方负责污水处理站清淤一次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15.安全管理的其他要求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（1）乙方对污水处理站工作人员，应做好三级安全教育，养成良好的安全生产的风气，预防事故发生和财产损失，确保人身安全。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（2）派驻现场人员需配备必要的个人防护用品并能熟练使用，保持污水处理站环境卫生整洁。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（3）在进行有限空间作业（如进入污水池</w:t>
      </w:r>
      <w:r>
        <w:rPr>
          <w:rFonts w:ascii="仿宋_GB2312" w:eastAsia="仿宋_GB2312" w:cs="仿宋_GB2312" w:hAnsi="仿宋_GB2312"/>
          <w:sz w:val="32"/>
          <w:szCs w:val="32"/>
          <w:lang w:val="en-US" w:eastAsia="zh-CN"/>
        </w:rPr>
        <w:t>维修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清淤等工作）、动火动焊等高危作业时，需严格遵守国家及医院内部相关安全作业要求，进行安全规范作业，杜绝安全生产事故。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四、费用结算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jc w:val="both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1、结算方式：自合同签订之日起，根据考核结果每季度结算一次，即每季度初支付上个季度的管理费用，以此类推，直至本合同结束。</w:t>
      </w:r>
    </w:p>
    <w:p>
      <w:pPr>
        <w:ind w:firstLineChars="200"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ascii="Calibri" w:eastAsia="宋体" w:cs="Arial" w:hAnsi="Calibri" w:hint="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19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420"/>
        <w:jc w:val="right"/>
        <w:rPr>
          <w:rFonts w:ascii="Calibri" w:eastAsia="宋体" w:cs="Arial" w:hAnsi="Calibri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3FA87C6"/>
    <w:multiLevelType w:val="singleLevel"/>
    <w:tmpl w:val="33FA87C6"/>
    <w:lvl w:ilvl="0">
      <w:start w:val="3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abstractNum w:abstractNumId="1">
    <w:nsid w:val="09C44139"/>
    <w:multiLevelType w:val="multilevel"/>
    <w:tmpl w:val="3EBB3C91"/>
    <w:lvl w:ilvl="0">
      <w:start w:val="1"/>
      <w:numFmt w:val="chineseCountingThousand"/>
      <w:lvlRestart w:val="0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4">
      <w:start w:val="0"/>
      <w:numFmt w:val="decimal"/>
      <w:pStyle w:val="15"/>
      <w:lvlJc w:val="left"/>
      <w:pPr/>
      <w:rPr>
        <w:rFonts w:cs="Times New Roman"/>
      </w:rPr>
    </w:lvl>
    <w:lvl w:ilvl="5">
      <w:start w:val="0"/>
      <w:numFmt w:val="decimal"/>
      <w:lvlJc w:val="left"/>
      <w:pPr/>
      <w:rPr>
        <w:rFonts w:cs="Times New Roman"/>
      </w:rPr>
    </w:lvl>
    <w:lvl w:ilvl="6">
      <w:start w:val="0"/>
      <w:numFmt w:val="decimal"/>
      <w:lvlJc w:val="left"/>
      <w:pPr/>
      <w:rPr>
        <w:rFonts w:cs="Times New Roman"/>
      </w:rPr>
    </w:lvl>
    <w:lvl w:ilvl="7">
      <w:start w:val="0"/>
      <w:numFmt w:val="decimal"/>
      <w:lvlJc w:val="left"/>
      <w:pPr/>
      <w:rPr>
        <w:rFonts w:cs="Times New Roman"/>
      </w:rPr>
    </w:lvl>
    <w:lvl w:ilvl="8">
      <w:start w:val="0"/>
      <w:numFmt w:val="decimal"/>
      <w:lvlJc w:val="left"/>
      <w:pPr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  <w:docVars>
    <w:docVar w:name="commondata" w:val="eyJoZGlkIjoiZjcwODdhYjI4NjU4ODBmZjc0NjBjYTI1MDJmMzg0YTAifQ=="/>
    <w:docVar w:name="KSO_WPS_MARK_KEY" w:val="7046bffb-5474-405d-af6d-258c16737c82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3" w:lineRule="auto"/>
      <w:outlineLvl w:val="1"/>
    </w:pPr>
    <w:rPr>
      <w:rFonts w:ascii="Arial" w:eastAsia="黑体" w:cs="Times New Roman" w:hAnsi="Arial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Arial" w:eastAsia="黑体" w:cs="Times New Roman" w:hAnsi="Arial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spacing w:before="0" w:beforeAutospacing="1" w:after="0" w:afterAutospacing="1"/>
      <w:jc w:val="left"/>
      <w:outlineLvl w:val="2"/>
    </w:pPr>
    <w:rPr>
      <w:rFonts w:ascii="宋体" w:eastAsia="宋体" w:cs="宋体" w:hAnsi="宋体"/>
      <w:b/>
      <w:bCs/>
      <w:kern w:val="0"/>
      <w:sz w:val="27"/>
      <w:szCs w:val="27"/>
      <w:lang w:val="en-US" w:eastAsia="zh-CN"/>
    </w:rPr>
  </w:style>
  <w:style w:type="character" w:customStyle="1" w:styleId="3Char">
    <w:name w:val="heading 3 Char"/>
    <w:basedOn w:val="10"/>
    <w:link w:val="3"/>
    <w:rPr>
      <w:rFonts w:ascii="宋体" w:eastAsia="宋体" w:cs="宋体" w:hAnsi="宋体"/>
      <w:b/>
      <w:bCs/>
      <w:kern w:val="0"/>
      <w:sz w:val="27"/>
      <w:szCs w:val="27"/>
      <w:lang w:val="en-US" w:eastAsia="zh-CN" w:bidi="ar-SA"/>
    </w:rPr>
  </w:style>
  <w:style w:type="character" w:default="1" w:styleId="10">
    <w:name w:val="Default Paragraph Font"/>
    <w:qFormat/>
  </w:style>
  <w:style w:type="paragraph" w:customStyle="1" w:yozoId="4094" w:styleId="15">
    <w:name w:val="标题 5（有编号）（绿盟科技）"/>
    <w:qFormat/>
    <w:basedOn w:val="0"/>
    <w:next w:val="16"/>
    <w:pPr>
      <w:keepNext/>
      <w:keepLines/>
      <w:numPr>
        <w:ilvl w:val="4"/>
        <w:numId w:val="2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  <w:style w:type="paragraph" w:customStyle="1" w:yozoId="4094" w:styleId="16">
    <w:name w:val="正文（绿盟科技）"/>
    <w:qFormat/>
    <w:pPr>
      <w:spacing w:line="300" w:lineRule="auto"/>
    </w:pPr>
    <w:rPr>
      <w:rFonts w:ascii="Arial" w:eastAsia="宋体" w:cs="黑体" w:hAnsi="Arial"/>
      <w:sz w:val="21"/>
      <w:szCs w:val="21"/>
      <w:lang w:val="en-US" w:eastAsia="zh-CN" w:bidi="ar-SA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0DF7691-BF23-4838-B137-5B8F786C2F7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24</TotalTime>
  <Application>WPS_Yozo_Office9.0.7493.101ZH.SC35</Application>
  <Pages>5</Pages>
  <Words>0</Words>
  <Characters>1632</Characters>
  <Lines>0</Lines>
  <Paragraphs>36</Paragraphs>
  <CharactersWithSpaces>2177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Administrator</cp:lastModifiedBy>
  <cp:revision>11</cp:revision>
  <cp:lastPrinted>2024-04-02T06:25:00Z</cp:lastPrinted>
  <dcterms:created xsi:type="dcterms:W3CDTF">2021-12-03T01:23:00Z</dcterms:created>
  <dcterms:modified xsi:type="dcterms:W3CDTF">2026-05-29T06:42:49Z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2052-11.1.0.12650</vt:lpwstr>
  </property>
  <property fmtid="{D5CDD505-2E9C-101B-9397-08002B2CF9AE}" pid="3" name="ICV">
    <vt:lpwstr>0EA07F649AD24735A02F740C3923E59A_12</vt:lpwstr>
  </property>
</Properties>
</file>